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Ref136350565" w:displacedByCustomXml="next"/>
    <w:sdt>
      <w:sdtPr>
        <w:rPr>
          <w:rFonts w:eastAsiaTheme="minorEastAsia" w:cstheme="minorBidi"/>
          <w:kern w:val="2"/>
          <w14:ligatures w14:val="standardContextual"/>
        </w:rPr>
        <w:id w:val="-422416286"/>
        <w:docPartObj>
          <w:docPartGallery w:val="Cover Pages"/>
          <w:docPartUnique/>
        </w:docPartObj>
      </w:sdtPr>
      <w:sdtEndPr>
        <w:rPr>
          <w:b/>
          <w:bCs/>
        </w:rPr>
      </w:sdtEndPr>
      <w:sdtContent>
        <w:p w14:paraId="6FAF316A" w14:textId="74BDECED" w:rsidR="008930D7" w:rsidRDefault="008930D7" w:rsidP="000A2423">
          <w:pPr>
            <w:pStyle w:val="TWVertragDeckblatt"/>
            <w:tabs>
              <w:tab w:val="right" w:pos="9213"/>
            </w:tabs>
          </w:pPr>
          <w:r w:rsidRPr="00255BB6">
            <w:tab/>
          </w:r>
          <w:r w:rsidR="00041D8D">
            <w:rPr>
              <w:noProof/>
              <w14:ligatures w14:val="standardContextual"/>
            </w:rPr>
            <w:drawing>
              <wp:inline distT="0" distB="0" distL="0" distR="0" wp14:anchorId="35373A16" wp14:editId="5E8E0C08">
                <wp:extent cx="1011534" cy="447675"/>
                <wp:effectExtent l="0" t="0" r="0" b="0"/>
                <wp:docPr id="2065058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58223" name="Picture 206505822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26696" cy="454385"/>
                        </a:xfrm>
                        <a:prstGeom prst="rect">
                          <a:avLst/>
                        </a:prstGeom>
                      </pic:spPr>
                    </pic:pic>
                  </a:graphicData>
                </a:graphic>
              </wp:inline>
            </w:drawing>
          </w:r>
        </w:p>
        <w:p w14:paraId="4F6B0496" w14:textId="35AA68DD" w:rsidR="008930D7" w:rsidRDefault="008930D7" w:rsidP="008930D7">
          <w:pPr>
            <w:pStyle w:val="TWVertragDeckblatt"/>
            <w:tabs>
              <w:tab w:val="right" w:pos="9213"/>
            </w:tabs>
            <w:jc w:val="right"/>
          </w:pPr>
          <w:r>
            <w:t>Stand: März 2025</w:t>
          </w:r>
        </w:p>
        <w:p w14:paraId="57EEB45F" w14:textId="16783932" w:rsidR="008930D7" w:rsidRPr="00041D8D" w:rsidRDefault="008930D7" w:rsidP="00041D8D">
          <w:pPr>
            <w:pStyle w:val="TWVertragDeckblatt"/>
            <w:ind w:left="4248"/>
            <w:jc w:val="center"/>
            <w:rPr>
              <w:b/>
              <w:bCs/>
            </w:rPr>
          </w:pPr>
          <w:r>
            <w:t xml:space="preserve">Abrufbar unter: </w:t>
          </w:r>
          <w:hyperlink r:id="rId9" w:history="1">
            <w:r w:rsidR="00041D8D" w:rsidRPr="00041D8D">
              <w:rPr>
                <w:rStyle w:val="Hyperlink"/>
              </w:rPr>
              <w:t>https://bm-a.de/news-media-hub/</w:t>
            </w:r>
          </w:hyperlink>
        </w:p>
        <w:p w14:paraId="2F079051" w14:textId="77777777" w:rsidR="008930D7" w:rsidRPr="00255BB6" w:rsidRDefault="008930D7" w:rsidP="000A2423">
          <w:pPr>
            <w:pStyle w:val="TWVertragDeckblatt"/>
            <w:tabs>
              <w:tab w:val="right" w:leader="underscore" w:pos="9213"/>
            </w:tabs>
          </w:pPr>
          <w:r w:rsidRPr="00255BB6">
            <w:tab/>
          </w:r>
        </w:p>
        <w:p w14:paraId="503840FA" w14:textId="28896DEE" w:rsidR="008930D7" w:rsidRPr="00255BB6" w:rsidRDefault="000168DD" w:rsidP="000168DD">
          <w:pPr>
            <w:pStyle w:val="TWVertragDeckblatt"/>
            <w:tabs>
              <w:tab w:val="left" w:pos="1478"/>
            </w:tabs>
          </w:pPr>
          <w:r>
            <w:tab/>
          </w:r>
        </w:p>
        <w:p w14:paraId="19219096" w14:textId="77777777" w:rsidR="008930D7" w:rsidRPr="00255BB6" w:rsidRDefault="008930D7" w:rsidP="000A2423">
          <w:pPr>
            <w:pStyle w:val="TWVertragDeckblatt"/>
          </w:pPr>
        </w:p>
        <w:p w14:paraId="37B49532" w14:textId="411B143A" w:rsidR="008930D7" w:rsidRDefault="00596970" w:rsidP="00596970">
          <w:pPr>
            <w:pStyle w:val="TWVertragDeckblatt"/>
            <w:jc w:val="center"/>
          </w:pPr>
          <w:r>
            <w:t>Anlage 10.2 zum Muster-Anteilskaufvertrag</w:t>
          </w:r>
        </w:p>
        <w:p w14:paraId="2DD30351" w14:textId="77777777" w:rsidR="00596970" w:rsidRPr="00255BB6" w:rsidRDefault="00596970" w:rsidP="00596970">
          <w:pPr>
            <w:pStyle w:val="TWVertragDeckblatt"/>
            <w:jc w:val="center"/>
          </w:pPr>
        </w:p>
        <w:p w14:paraId="25CC7CAD" w14:textId="77777777" w:rsidR="008930D7" w:rsidRPr="00255BB6" w:rsidRDefault="008930D7" w:rsidP="000A2423">
          <w:pPr>
            <w:pStyle w:val="TWVertragDeckblatt"/>
          </w:pPr>
        </w:p>
        <w:p w14:paraId="3AC94D68" w14:textId="5EC90720" w:rsidR="000168DD" w:rsidRPr="000168DD" w:rsidRDefault="000168DD" w:rsidP="000168DD">
          <w:pPr>
            <w:pStyle w:val="TWVertragDeckblatt"/>
            <w:jc w:val="center"/>
            <w:rPr>
              <w:b/>
            </w:rPr>
          </w:pPr>
          <w:r>
            <w:rPr>
              <w:b/>
            </w:rPr>
            <w:t>HINWEIS</w:t>
          </w:r>
          <w:r w:rsidRPr="000168DD">
            <w:rPr>
              <w:b/>
            </w:rPr>
            <w:t>:</w:t>
          </w:r>
        </w:p>
        <w:p w14:paraId="3B22BA8E" w14:textId="13330223" w:rsidR="008930D7" w:rsidRPr="00255BB6" w:rsidRDefault="000168DD" w:rsidP="000A2423">
          <w:pPr>
            <w:pStyle w:val="TWVertragDeckblatt"/>
            <w:jc w:val="center"/>
          </w:pPr>
          <w:r w:rsidRPr="000168DD">
            <w:rPr>
              <w:b/>
            </w:rPr>
            <w:t>D</w:t>
          </w:r>
          <w:r>
            <w:rPr>
              <w:b/>
            </w:rPr>
            <w:t>IESER MUSTER-GARANTIEKATALOG</w:t>
          </w:r>
          <w:r w:rsidR="004D1BBC">
            <w:rPr>
              <w:b/>
            </w:rPr>
            <w:t xml:space="preserve"> FÜR OPERATIVE GARANTIEN </w:t>
          </w:r>
          <w:r>
            <w:rPr>
              <w:b/>
            </w:rPr>
            <w:t>ERSETZT NICHT EINE AUF DEN EINZELFALL BEZOGENE DETAILLIERTE RECHTLICHE BERATUNG DER PARTEIEN</w:t>
          </w:r>
        </w:p>
        <w:p w14:paraId="3E5BB898" w14:textId="738C15A3" w:rsidR="008930D7" w:rsidRPr="00255BB6" w:rsidRDefault="008930D7" w:rsidP="001655D7">
          <w:pPr>
            <w:pStyle w:val="TWVertragDeckblatt"/>
            <w:jc w:val="center"/>
          </w:pPr>
          <w:r>
            <w:rPr>
              <w:b/>
            </w:rPr>
            <w:t xml:space="preserve"> </w:t>
          </w:r>
        </w:p>
        <w:p w14:paraId="5FC58558" w14:textId="77777777" w:rsidR="008930D7" w:rsidRPr="00255BB6" w:rsidRDefault="008930D7" w:rsidP="000A2423">
          <w:pPr>
            <w:pStyle w:val="TWVertragDeckblatt"/>
            <w:jc w:val="center"/>
          </w:pPr>
        </w:p>
        <w:p w14:paraId="379970EA" w14:textId="083E1DD8" w:rsidR="008930D7" w:rsidRPr="00255BB6" w:rsidRDefault="008930D7" w:rsidP="001655D7">
          <w:pPr>
            <w:pStyle w:val="TWVertragDeckblatt"/>
            <w:jc w:val="center"/>
          </w:pPr>
          <w:r>
            <w:rPr>
              <w:b/>
            </w:rPr>
            <w:t xml:space="preserve">  </w:t>
          </w:r>
        </w:p>
        <w:p w14:paraId="148D82B9" w14:textId="77777777" w:rsidR="008930D7" w:rsidRPr="00255BB6" w:rsidRDefault="008930D7" w:rsidP="000A2423">
          <w:pPr>
            <w:pStyle w:val="TWVertragDeckblatt"/>
            <w:jc w:val="center"/>
          </w:pPr>
        </w:p>
        <w:p w14:paraId="13DCB226" w14:textId="202A7FC6" w:rsidR="008930D7" w:rsidRPr="00255BB6" w:rsidRDefault="008930D7" w:rsidP="001655D7">
          <w:pPr>
            <w:pStyle w:val="TWVertragDeckblatt"/>
            <w:jc w:val="center"/>
          </w:pPr>
          <w:r>
            <w:rPr>
              <w:b/>
            </w:rPr>
            <w:t xml:space="preserve">  </w:t>
          </w:r>
        </w:p>
        <w:p w14:paraId="2A098407" w14:textId="77777777" w:rsidR="008930D7" w:rsidRPr="00255BB6" w:rsidRDefault="008930D7" w:rsidP="000A2423">
          <w:pPr>
            <w:pStyle w:val="TWVertragDeckblatt"/>
            <w:tabs>
              <w:tab w:val="left" w:leader="underscore" w:pos="9213"/>
            </w:tabs>
            <w:jc w:val="left"/>
          </w:pPr>
          <w:r w:rsidRPr="00255BB6">
            <w:tab/>
          </w:r>
        </w:p>
        <w:p w14:paraId="4A1AC5B4" w14:textId="77777777" w:rsidR="008930D7" w:rsidRPr="00255BB6" w:rsidRDefault="008930D7" w:rsidP="000A2423">
          <w:pPr>
            <w:pStyle w:val="TWVertragDeckblatt"/>
            <w:jc w:val="left"/>
            <w:rPr>
              <w:sz w:val="12"/>
            </w:rPr>
          </w:pPr>
        </w:p>
        <w:p w14:paraId="001F56F9" w14:textId="77777777" w:rsidR="008930D7" w:rsidRPr="00255BB6" w:rsidRDefault="008930D7" w:rsidP="000A2423">
          <w:pPr>
            <w:pStyle w:val="TWVertragDeckblatt"/>
            <w:jc w:val="left"/>
            <w:rPr>
              <w:sz w:val="12"/>
            </w:rPr>
          </w:pPr>
        </w:p>
        <w:p w14:paraId="4D5833FF" w14:textId="02D05824" w:rsidR="008930D7" w:rsidRPr="00E00A76" w:rsidRDefault="008930D7" w:rsidP="000A2423">
          <w:pPr>
            <w:pStyle w:val="TWVertragDeckblatt"/>
            <w:jc w:val="center"/>
            <w:rPr>
              <w:rFonts w:cs="Arial"/>
              <w:bCs/>
              <w:caps/>
            </w:rPr>
          </w:pPr>
          <w:r>
            <w:rPr>
              <w:rFonts w:cs="Arial"/>
              <w:b/>
              <w:caps/>
            </w:rPr>
            <w:t>muster</w:t>
          </w:r>
          <w:r w:rsidR="004D1BBC">
            <w:rPr>
              <w:rFonts w:cs="Arial"/>
              <w:b/>
              <w:caps/>
            </w:rPr>
            <w:t>-</w:t>
          </w:r>
          <w:r>
            <w:rPr>
              <w:rFonts w:cs="Arial"/>
              <w:b/>
              <w:caps/>
            </w:rPr>
            <w:t>garantiekatalog</w:t>
          </w:r>
          <w:r w:rsidR="004D1BBC">
            <w:rPr>
              <w:rFonts w:cs="Arial"/>
              <w:b/>
              <w:caps/>
            </w:rPr>
            <w:t xml:space="preserve"> FÜR OPERATIVE GARANTIEN</w:t>
          </w:r>
        </w:p>
        <w:p w14:paraId="4BCF978D" w14:textId="77777777" w:rsidR="008930D7" w:rsidRPr="00E00A76" w:rsidRDefault="008930D7" w:rsidP="000A2423">
          <w:pPr>
            <w:pStyle w:val="TWVertragDeckblatt"/>
            <w:jc w:val="left"/>
            <w:rPr>
              <w:rFonts w:cs="Arial"/>
              <w:bCs/>
              <w:sz w:val="12"/>
            </w:rPr>
          </w:pPr>
        </w:p>
        <w:p w14:paraId="75F5E33F" w14:textId="77777777" w:rsidR="008930D7" w:rsidRPr="00E00A76" w:rsidRDefault="008930D7" w:rsidP="000A2423">
          <w:pPr>
            <w:pStyle w:val="TWVertragDeckblatt"/>
            <w:tabs>
              <w:tab w:val="left" w:leader="underscore" w:pos="9213"/>
            </w:tabs>
            <w:jc w:val="left"/>
            <w:rPr>
              <w:rFonts w:cs="Arial"/>
              <w:bCs/>
            </w:rPr>
          </w:pPr>
          <w:r w:rsidRPr="00E00A76">
            <w:rPr>
              <w:rFonts w:cs="Arial"/>
              <w:bCs/>
            </w:rPr>
            <w:tab/>
          </w:r>
        </w:p>
        <w:p w14:paraId="751BDEB8" w14:textId="4C0823BC" w:rsidR="008930D7" w:rsidRPr="00255BB6" w:rsidRDefault="008930D7" w:rsidP="000A2423">
          <w:pPr>
            <w:pStyle w:val="TWVertragDeckblatt"/>
            <w:tabs>
              <w:tab w:val="left" w:leader="underscore" w:pos="9213"/>
            </w:tabs>
            <w:jc w:val="left"/>
          </w:pPr>
        </w:p>
        <w:p w14:paraId="0542D342" w14:textId="7EBE3DC9" w:rsidR="008930D7" w:rsidRDefault="008930D7">
          <w:pPr>
            <w:spacing w:line="259" w:lineRule="auto"/>
            <w:rPr>
              <w:b/>
              <w:bCs/>
              <w:iCs/>
            </w:rPr>
          </w:pPr>
          <w:r>
            <w:rPr>
              <w:b/>
              <w:bCs/>
              <w:iCs/>
            </w:rPr>
            <w:br w:type="page"/>
          </w:r>
        </w:p>
      </w:sdtContent>
    </w:sdt>
    <w:p w14:paraId="0E64C5B0" w14:textId="6EEBE68E" w:rsidR="008930D7" w:rsidRDefault="008930D7" w:rsidP="008930D7">
      <w:pPr>
        <w:tabs>
          <w:tab w:val="num" w:pos="794"/>
        </w:tabs>
        <w:rPr>
          <w:b/>
          <w:bCs/>
          <w:iCs/>
        </w:rPr>
      </w:pPr>
      <w:r>
        <w:rPr>
          <w:b/>
          <w:bCs/>
          <w:iCs/>
        </w:rPr>
        <w:lastRenderedPageBreak/>
        <w:t>Hinweise / Haftungsausschluss</w:t>
      </w:r>
    </w:p>
    <w:p w14:paraId="1D5E4879" w14:textId="373A5CE9" w:rsidR="00596970" w:rsidRDefault="008930D7" w:rsidP="00B416FD">
      <w:pPr>
        <w:pStyle w:val="TWTextebene"/>
      </w:pPr>
      <w:r>
        <w:t>Der vorliegende Muster-Garantiekatalo</w:t>
      </w:r>
      <w:r w:rsidR="004D1BBC">
        <w:t>g für operative Garantien</w:t>
      </w:r>
      <w:r>
        <w:t xml:space="preserve"> </w:t>
      </w:r>
      <w:r w:rsidR="00227A1B">
        <w:t>versteht sich als integraler Bestandteil und Anlage 10.2 des Muster-Anteilskaufvertrags, der in seiner jeweiligen Fassung auf der Internetseite des Bundesverbands Mergers &amp; Acquisitions gem. e.V. zum Download verfügbar ist („</w:t>
      </w:r>
      <w:r w:rsidR="00227A1B" w:rsidRPr="00227A1B">
        <w:rPr>
          <w:b/>
          <w:bCs/>
        </w:rPr>
        <w:t>Muster-Anteilskaufvertrag</w:t>
      </w:r>
      <w:r w:rsidR="00227A1B">
        <w:t xml:space="preserve">“). Er enthält deshalb keine sog. Bestands- oder Titelgarantien, da diese bereits in Ziffer 10.1 des Muster-Anteilskaufvertrags geregelt sind. </w:t>
      </w:r>
      <w:r w:rsidR="009F654B">
        <w:t xml:space="preserve">Definierte Begriffe, die nicht in dieser Anlage 10.2 definiert sind, haben die Bedeutung, die ihnen im Muster-Anteilskaufvertrag zugewiesen ist. </w:t>
      </w:r>
      <w:r w:rsidR="00227A1B">
        <w:t xml:space="preserve">Der vorliegende Muster-Garantiekatalog versteht sich </w:t>
      </w:r>
      <w:r>
        <w:t xml:space="preserve">als </w:t>
      </w:r>
      <w:r w:rsidR="004D1BBC">
        <w:t xml:space="preserve">beispielhafte Orientierung für </w:t>
      </w:r>
      <w:r w:rsidR="00227A1B">
        <w:t xml:space="preserve">einen </w:t>
      </w:r>
      <w:r>
        <w:t>endverhandelte</w:t>
      </w:r>
      <w:r w:rsidR="00227A1B">
        <w:t>n</w:t>
      </w:r>
      <w:r w:rsidR="004D1BBC">
        <w:t xml:space="preserve"> operative</w:t>
      </w:r>
      <w:r w:rsidR="00227A1B">
        <w:t>n</w:t>
      </w:r>
      <w:r>
        <w:t xml:space="preserve"> Garantie</w:t>
      </w:r>
      <w:r w:rsidR="00227A1B">
        <w:t xml:space="preserve">katalog </w:t>
      </w:r>
      <w:r w:rsidR="00E92067">
        <w:t xml:space="preserve">und ist daher weder einseitig verkäufer- noch käuferfreundlich ausgestaltet. </w:t>
      </w:r>
      <w:r w:rsidR="00227A1B">
        <w:t xml:space="preserve">Ferner sind keine industriespezifischen Garantien abgebildet. Käufern ist zu empfehlen, die gewünschten </w:t>
      </w:r>
      <w:r w:rsidR="00E92067">
        <w:t xml:space="preserve">Garantiezusagen </w:t>
      </w:r>
      <w:r w:rsidR="00227A1B">
        <w:t>spezifisch auf ihren</w:t>
      </w:r>
      <w:r w:rsidR="00E92067">
        <w:t xml:space="preserve"> Due Diligence</w:t>
      </w:r>
      <w:r w:rsidR="0005624F">
        <w:t>-</w:t>
      </w:r>
      <w:r w:rsidR="00E92067">
        <w:t>Pr</w:t>
      </w:r>
      <w:r w:rsidR="00227A1B">
        <w:t>ozess abzustimmen. Verkäufer</w:t>
      </w:r>
      <w:r w:rsidR="00D814AD">
        <w:t>n ist zur Vermeidung einer unbegrenzten gesetzlichen Arglisthaftung zu</w:t>
      </w:r>
      <w:r w:rsidR="0005624F">
        <w:t xml:space="preserve"> empfehlen</w:t>
      </w:r>
      <w:r w:rsidR="00E00A76">
        <w:t xml:space="preserve">, </w:t>
      </w:r>
      <w:r w:rsidR="00596970">
        <w:t xml:space="preserve">einen strukturierten Prozess </w:t>
      </w:r>
      <w:r w:rsidR="00A34013">
        <w:t>zur Prüfung der Vollständigkeit und Richtigkeit der Garantiezusagen</w:t>
      </w:r>
      <w:r w:rsidR="00596970">
        <w:t xml:space="preserve"> </w:t>
      </w:r>
      <w:r w:rsidR="00A34013">
        <w:t xml:space="preserve">(insbesondere auch im Hinblick auf die in Ziffer 15 unten geregelte Zusage hinsichtlich der im Datenraum zur Verfügung gestellten Unterlagen) </w:t>
      </w:r>
      <w:r w:rsidR="0005624F">
        <w:t xml:space="preserve">im Zielunternehmen </w:t>
      </w:r>
      <w:r w:rsidR="00596970">
        <w:t xml:space="preserve">durchzuführen und </w:t>
      </w:r>
      <w:r w:rsidR="00A34013">
        <w:t>nachweisbar zu</w:t>
      </w:r>
      <w:r w:rsidR="00596970">
        <w:t xml:space="preserve"> dokumentieren</w:t>
      </w:r>
      <w:r w:rsidR="0005624F">
        <w:t>.</w:t>
      </w:r>
    </w:p>
    <w:p w14:paraId="412D0FD9" w14:textId="4FBC3E9F" w:rsidR="00E00A76" w:rsidRPr="00B416FD" w:rsidRDefault="00B416FD" w:rsidP="00B416FD">
      <w:pPr>
        <w:pStyle w:val="TWTextebene"/>
        <w:rPr>
          <w:b/>
          <w:bCs/>
        </w:rPr>
      </w:pPr>
      <w:r w:rsidRPr="00B416FD">
        <w:rPr>
          <w:b/>
          <w:bCs/>
        </w:rPr>
        <w:t xml:space="preserve">Weder der Bundesverband Mergers &amp; Acquisitions gem. e.V. noch die beteiligten Kanzleien, die an diesem Muster mitgewirkt haben, übernehmen eine Haftung oder Gewähr für das vorliegende </w:t>
      </w:r>
      <w:r w:rsidR="008C01A9">
        <w:rPr>
          <w:b/>
          <w:bCs/>
        </w:rPr>
        <w:t>M</w:t>
      </w:r>
      <w:r w:rsidRPr="00B416FD">
        <w:rPr>
          <w:b/>
          <w:bCs/>
        </w:rPr>
        <w:t xml:space="preserve">uster und seine Verwendung, insbesondere nicht für die Richtigkeit, Geeignetheit, Vollständigkeit oder Durchsetzbarkeit der in diesem Muster zur Verfügung gestellten </w:t>
      </w:r>
      <w:r w:rsidR="00A34013">
        <w:rPr>
          <w:b/>
          <w:bCs/>
        </w:rPr>
        <w:t>Garantiezusagen</w:t>
      </w:r>
      <w:r>
        <w:rPr>
          <w:b/>
          <w:bCs/>
        </w:rPr>
        <w:t>.</w:t>
      </w:r>
      <w:r w:rsidR="00E00A76" w:rsidRPr="00B416FD">
        <w:rPr>
          <w:b/>
          <w:bCs/>
        </w:rPr>
        <w:br w:type="page"/>
      </w:r>
    </w:p>
    <w:p w14:paraId="1AD528B7" w14:textId="1686FA71" w:rsidR="008930D7" w:rsidRDefault="004D1BBC" w:rsidP="00B416FD">
      <w:pPr>
        <w:pStyle w:val="TWberschrift"/>
        <w:spacing w:after="1440" w:line="240" w:lineRule="auto"/>
        <w:jc w:val="center"/>
      </w:pPr>
      <w:r>
        <w:lastRenderedPageBreak/>
        <w:t>MUSTER-</w:t>
      </w:r>
      <w:r w:rsidR="00E00A76">
        <w:t>GARANTIEKATALOG</w:t>
      </w:r>
      <w:r>
        <w:t xml:space="preserve"> FÜR OPERATIVE GARANTIEN</w:t>
      </w:r>
    </w:p>
    <w:bookmarkEnd w:id="0"/>
    <w:p w14:paraId="29AA7D52" w14:textId="77777777" w:rsidR="008930D7" w:rsidRPr="008930D7" w:rsidRDefault="008930D7" w:rsidP="00C662B8">
      <w:pPr>
        <w:pStyle w:val="TWNummerierung1"/>
      </w:pPr>
      <w:r w:rsidRPr="008930D7">
        <w:t>Jahresabschlüsse und Finanzen</w:t>
      </w:r>
    </w:p>
    <w:p w14:paraId="0C96885C" w14:textId="29D3B98E" w:rsidR="008930D7" w:rsidRPr="008930D7" w:rsidRDefault="008930D7" w:rsidP="00C662B8">
      <w:pPr>
        <w:pStyle w:val="TWNummerierung2"/>
      </w:pPr>
      <w:bookmarkStart w:id="1" w:name="_Ref136351389"/>
      <w:r w:rsidRPr="008930D7">
        <w:t>Die Verkäufer haben de</w:t>
      </w:r>
      <w:r w:rsidR="00C662B8">
        <w:t>m</w:t>
      </w:r>
      <w:r w:rsidRPr="008930D7">
        <w:t xml:space="preserve"> Käufer die </w:t>
      </w:r>
      <w:r w:rsidRPr="00C662B8">
        <w:t>[</w:t>
      </w:r>
      <w:r w:rsidRPr="00C662B8">
        <w:rPr>
          <w:highlight w:val="yellow"/>
        </w:rPr>
        <w:t>●nicht●</w:t>
      </w:r>
      <w:r w:rsidRPr="008930D7">
        <w:t xml:space="preserve">] testierten Jahresabschlüsse (Einzelabschlüsse) der Gesellschaft </w:t>
      </w:r>
      <w:r w:rsidRPr="00C662B8">
        <w:t>[</w:t>
      </w:r>
      <w:r w:rsidRPr="00C662B8">
        <w:rPr>
          <w:highlight w:val="yellow"/>
        </w:rPr>
        <w:t>●sowie der Tochtergesellschaft●</w:t>
      </w:r>
      <w:r w:rsidRPr="008930D7">
        <w:t>] jeweils zum [</w:t>
      </w:r>
      <w:r w:rsidRPr="00C662B8">
        <w:rPr>
          <w:highlight w:val="yellow"/>
        </w:rPr>
        <w:t>Datum</w:t>
      </w:r>
      <w:r w:rsidRPr="008930D7">
        <w:t>] und zum [</w:t>
      </w:r>
      <w:r w:rsidRPr="00C662B8">
        <w:rPr>
          <w:highlight w:val="yellow"/>
        </w:rPr>
        <w:t>Datum</w:t>
      </w:r>
      <w:r w:rsidRPr="008930D7">
        <w:t>] zur Verfügung gestellt (zusammenfassend nachstehend die „</w:t>
      </w:r>
      <w:r w:rsidRPr="008930D7">
        <w:rPr>
          <w:b/>
        </w:rPr>
        <w:t>Jahresabschlüsse</w:t>
      </w:r>
      <w:r w:rsidR="00C662B8">
        <w:t>“</w:t>
      </w:r>
      <w:r w:rsidRPr="008930D7">
        <w:t xml:space="preserve">). Kopien der Jahresabschlüsse sind diesem </w:t>
      </w:r>
      <w:r w:rsidR="00C662B8">
        <w:t>V</w:t>
      </w:r>
      <w:r w:rsidRPr="008930D7">
        <w:t xml:space="preserve">ertrag als </w:t>
      </w:r>
      <w:r w:rsidR="004D1BBC">
        <w:rPr>
          <w:b/>
          <w:u w:val="single"/>
        </w:rPr>
        <w:t>Anhang</w:t>
      </w:r>
      <w:r w:rsidRPr="00C662B8">
        <w:rPr>
          <w:b/>
          <w:u w:val="single"/>
        </w:rPr>
        <w:t xml:space="preserve"> </w:t>
      </w:r>
      <w:r w:rsidR="004D1BBC">
        <w:rPr>
          <w:b/>
          <w:u w:val="single"/>
        </w:rPr>
        <w:t>1</w:t>
      </w:r>
      <w:r w:rsidR="00C662B8" w:rsidRPr="00C662B8">
        <w:rPr>
          <w:b/>
          <w:u w:val="single"/>
        </w:rPr>
        <w:t>.1</w:t>
      </w:r>
      <w:r w:rsidRPr="008930D7">
        <w:t xml:space="preserve"> zu </w:t>
      </w:r>
      <w:r w:rsidR="00901F48">
        <w:t>B</w:t>
      </w:r>
      <w:r w:rsidR="00901F48" w:rsidRPr="008930D7">
        <w:t xml:space="preserve">eweiszwecken </w:t>
      </w:r>
      <w:r w:rsidRPr="008930D7">
        <w:t>beigefügt.</w:t>
      </w:r>
    </w:p>
    <w:bookmarkEnd w:id="1"/>
    <w:p w14:paraId="05F9F589" w14:textId="7FD13CDD" w:rsidR="008930D7" w:rsidRDefault="008930D7" w:rsidP="00C662B8">
      <w:pPr>
        <w:pStyle w:val="TWNummerierung2"/>
        <w:rPr>
          <w:bCs/>
        </w:rPr>
      </w:pPr>
      <w:r w:rsidRPr="008930D7">
        <w:rPr>
          <w:bCs/>
        </w:rPr>
        <w:t>Die Jahresabschlüsse wurden in Übereinstimmung mit den jeweils anwendbaren Vorschriften und den Grundsätzen ordnungsgemäßer Buchführung und Bilanzierung sowie unter Berücksichtigung der Grundsätze der Bilanzkontinuität und Ansatz- sowie Bewertungsstetigkeit aufgestellt. Ansatz- und Bewertungswahlrechte wurden entsprechend ausgeübt. Die Jahresabschlüsse vermitteln nach den der Geschäftsführung bei Aufstellung bekannten Tatsachen in allen wesentlichen Belangen ein den tatsächlichen Verhältnissen entsprechendes Bild der Vermögens-, Finanz- und Ertragslage der Gesellschaft entsprechend § 264 Abs. 2 Satz 1 Handelsgesetzbuch</w:t>
      </w:r>
      <w:r w:rsidR="00C662B8">
        <w:rPr>
          <w:bCs/>
        </w:rPr>
        <w:t xml:space="preserve"> (HGB) </w:t>
      </w:r>
      <w:r w:rsidRPr="008930D7">
        <w:rPr>
          <w:bCs/>
        </w:rPr>
        <w:t xml:space="preserve">zum jeweiligen Abschlussstichtag. Es wird klarstellend festgehalten, dass es sich bei den vorstehenden Erklärungen nicht um eine harte bzw. objektive Bilanzgarantie </w:t>
      </w:r>
      <w:r w:rsidR="00B33356" w:rsidRPr="00B33356">
        <w:rPr>
          <w:bCs/>
        </w:rPr>
        <w:t xml:space="preserve">im Sinne der Rechtsprechung des OLG Frankfurt am Main (Urteil vom 7. Mai 2015, Az. 26 U 35/12) </w:t>
      </w:r>
      <w:r w:rsidRPr="008930D7">
        <w:rPr>
          <w:bCs/>
        </w:rPr>
        <w:t>handelt.</w:t>
      </w:r>
    </w:p>
    <w:p w14:paraId="31EBE59E" w14:textId="3745BD36" w:rsidR="00C662B8" w:rsidRPr="008930D7" w:rsidRDefault="00C662B8" w:rsidP="00C662B8">
      <w:pPr>
        <w:pStyle w:val="TWNummerierung2"/>
      </w:pPr>
      <w:bookmarkStart w:id="2" w:name="_Ref187773081"/>
      <w:r>
        <w:t xml:space="preserve">Die als </w:t>
      </w:r>
      <w:r w:rsidR="004D1BBC">
        <w:rPr>
          <w:b/>
          <w:u w:val="single"/>
        </w:rPr>
        <w:t>Anhang</w:t>
      </w:r>
      <w:r w:rsidRPr="00015C3D">
        <w:rPr>
          <w:b/>
          <w:u w:val="single"/>
        </w:rPr>
        <w:t xml:space="preserve"> </w:t>
      </w:r>
      <w:r w:rsidR="004D1BBC">
        <w:rPr>
          <w:b/>
          <w:u w:val="single"/>
        </w:rPr>
        <w:t>1</w:t>
      </w:r>
      <w:r w:rsidR="00015C3D" w:rsidRPr="00015C3D">
        <w:rPr>
          <w:b/>
          <w:u w:val="single"/>
        </w:rPr>
        <w:t>.3</w:t>
      </w:r>
      <w:r>
        <w:t xml:space="preserve"> </w:t>
      </w:r>
      <w:r w:rsidRPr="00C0004F">
        <w:t xml:space="preserve">beigefügten </w:t>
      </w:r>
      <w:r>
        <w:t>b</w:t>
      </w:r>
      <w:r w:rsidRPr="00C0004F">
        <w:t>etriebswirtschaftlichen Auswertungen</w:t>
      </w:r>
      <w:r>
        <w:t xml:space="preserve"> (BWA)</w:t>
      </w:r>
      <w:r w:rsidRPr="00C0004F">
        <w:t xml:space="preserve"> der </w:t>
      </w:r>
      <w:r>
        <w:t xml:space="preserve">Gesellschaft </w:t>
      </w:r>
      <w:r w:rsidRPr="00C0004F">
        <w:t xml:space="preserve">geben die hierin genannten Positionen nach </w:t>
      </w:r>
      <w:proofErr w:type="spellStart"/>
      <w:r>
        <w:t>Bestem</w:t>
      </w:r>
      <w:proofErr w:type="spellEnd"/>
      <w:r>
        <w:t xml:space="preserve"> Wissen</w:t>
      </w:r>
      <w:r w:rsidRPr="00C0004F">
        <w:t xml:space="preserve"> de</w:t>
      </w:r>
      <w:r>
        <w:t>r</w:t>
      </w:r>
      <w:r w:rsidRPr="00C0004F">
        <w:t xml:space="preserve"> Verkäufer zum jeweiligen </w:t>
      </w:r>
      <w:r>
        <w:t>[</w:t>
      </w:r>
      <w:r w:rsidRPr="00015C3D">
        <w:rPr>
          <w:highlight w:val="yellow"/>
        </w:rPr>
        <w:t>Monatsende</w:t>
      </w:r>
      <w:r>
        <w:t>]</w:t>
      </w:r>
      <w:r w:rsidRPr="00C0004F">
        <w:t xml:space="preserve"> zutreffend wieder, wobei zu berücksichtigen ist, dass insoweit keine</w:t>
      </w:r>
      <w:r>
        <w:t xml:space="preserve"> typischen Jahresabschlussarbeiten </w:t>
      </w:r>
      <w:r w:rsidRPr="00C0004F">
        <w:t>erfolgt sind</w:t>
      </w:r>
      <w:r>
        <w:t xml:space="preserve"> (d.h. insbesondere keine</w:t>
      </w:r>
      <w:r w:rsidRPr="00C0004F">
        <w:t xml:space="preserve"> Wertberichtigungen, Abschreibungen</w:t>
      </w:r>
      <w:r>
        <w:t xml:space="preserve">, </w:t>
      </w:r>
      <w:r w:rsidRPr="00C0004F">
        <w:t>Überleitungsrechnungen und Abgrenzungen</w:t>
      </w:r>
      <w:r>
        <w:t xml:space="preserve"> vorgenommen wurden)</w:t>
      </w:r>
      <w:r w:rsidRPr="00C0004F">
        <w:t xml:space="preserve"> und diese </w:t>
      </w:r>
      <w:r>
        <w:t>betriebswirtschaftlichen Auswertungen</w:t>
      </w:r>
      <w:r w:rsidRPr="00C0004F">
        <w:t xml:space="preserve"> nicht die Qualität einer im Jahresabschluss </w:t>
      </w:r>
      <w:r>
        <w:t>enthaltenen</w:t>
      </w:r>
      <w:r w:rsidRPr="00C0004F">
        <w:t xml:space="preserve"> Gewinn- und Verlustrechnung haben.</w:t>
      </w:r>
      <w:bookmarkEnd w:id="2"/>
    </w:p>
    <w:p w14:paraId="614D4084" w14:textId="4385F503" w:rsidR="008930D7" w:rsidRPr="008930D7" w:rsidRDefault="008930D7" w:rsidP="00015C3D">
      <w:pPr>
        <w:pStyle w:val="TWNummerierung2"/>
        <w:rPr>
          <w:bCs/>
        </w:rPr>
      </w:pPr>
      <w:r w:rsidRPr="008930D7">
        <w:rPr>
          <w:bCs/>
        </w:rPr>
        <w:t xml:space="preserve">Sämtliche </w:t>
      </w:r>
      <w:r w:rsidR="00901F48" w:rsidRPr="00901F48">
        <w:rPr>
          <w:bCs/>
        </w:rPr>
        <w:t xml:space="preserve">gesetzlich zu führenden und aufzubewahrenden </w:t>
      </w:r>
      <w:r w:rsidRPr="008930D7">
        <w:rPr>
          <w:bCs/>
        </w:rPr>
        <w:t>Buchhaltungsunterlagen sind verfügbar, befinden sich auf dem laufenden Stand und wurden stets den gesetzlichen Vorschriften entsprechend sowie nach den Grundsätzen ordnungsgemäßer Buchführung geführt und aufbewahrt.</w:t>
      </w:r>
    </w:p>
    <w:p w14:paraId="6BB0E72F" w14:textId="319929C1" w:rsidR="008930D7" w:rsidRPr="008930D7" w:rsidRDefault="004D1BBC" w:rsidP="00015C3D">
      <w:pPr>
        <w:pStyle w:val="TWNummerierung2"/>
        <w:rPr>
          <w:bCs/>
        </w:rPr>
      </w:pPr>
      <w:bookmarkStart w:id="3" w:name="_Ref136351535"/>
      <w:r>
        <w:rPr>
          <w:b/>
          <w:bCs/>
          <w:u w:val="single"/>
        </w:rPr>
        <w:lastRenderedPageBreak/>
        <w:t>Anhang</w:t>
      </w:r>
      <w:r w:rsidR="008930D7" w:rsidRPr="008930D7">
        <w:rPr>
          <w:b/>
          <w:bCs/>
          <w:u w:val="single"/>
        </w:rPr>
        <w:t xml:space="preserve"> </w:t>
      </w:r>
      <w:r>
        <w:rPr>
          <w:b/>
          <w:bCs/>
          <w:u w:val="single"/>
        </w:rPr>
        <w:t>1</w:t>
      </w:r>
      <w:r w:rsidR="00015C3D" w:rsidRPr="00015C3D">
        <w:rPr>
          <w:b/>
          <w:bCs/>
          <w:u w:val="single"/>
        </w:rPr>
        <w:t>.5</w:t>
      </w:r>
      <w:r w:rsidR="008930D7" w:rsidRPr="008930D7">
        <w:rPr>
          <w:bCs/>
        </w:rPr>
        <w:t xml:space="preserve"> enthält eine vollständige und richtige Aufstellung der bestehenden Kredit- und Darlehensverträge der Gesellschaft</w:t>
      </w:r>
      <w:r w:rsidR="00AA3B6C">
        <w:rPr>
          <w:bCs/>
        </w:rPr>
        <w:t xml:space="preserve">, sowohl als Kreditnehmer als auch als Kreditgeber, sowie der von Seiten der Gesellschaft dafür bestellten Pfand- und </w:t>
      </w:r>
      <w:proofErr w:type="spellStart"/>
      <w:r w:rsidR="00AA3B6C">
        <w:rPr>
          <w:bCs/>
        </w:rPr>
        <w:t>Sicherheitenrechte</w:t>
      </w:r>
      <w:proofErr w:type="spellEnd"/>
      <w:r w:rsidR="008930D7" w:rsidRPr="008930D7">
        <w:rPr>
          <w:bCs/>
        </w:rPr>
        <w:t>.</w:t>
      </w:r>
      <w:bookmarkEnd w:id="3"/>
    </w:p>
    <w:p w14:paraId="7CA1F11A" w14:textId="32ABA925" w:rsidR="008930D7" w:rsidRPr="008930D7" w:rsidRDefault="008930D7" w:rsidP="00015C3D">
      <w:pPr>
        <w:pStyle w:val="TWNummerierung2"/>
        <w:rPr>
          <w:bCs/>
        </w:rPr>
      </w:pPr>
      <w:r w:rsidRPr="008930D7">
        <w:rPr>
          <w:bCs/>
        </w:rPr>
        <w:t>Die Gesellschaft hat keine Bürgschaften, Garantieverpflichtungen oder Patronatserklärungen</w:t>
      </w:r>
      <w:r w:rsidR="00AA3B6C">
        <w:rPr>
          <w:bCs/>
        </w:rPr>
        <w:t xml:space="preserve"> für Verbindlichkeiten Dritter</w:t>
      </w:r>
      <w:r w:rsidRPr="008930D7">
        <w:rPr>
          <w:bCs/>
        </w:rPr>
        <w:t xml:space="preserve"> übernommen. Es bestehen keine von der Gesellschaft gewährten Sicherheiten, gleich welcher Art, zugunsten Dritter (einschließlich der Verkäufer) oder Haftungsverhältnisse von Dritten (einschließlich der Verkäufer), welche ihrerseits für Verbindlichkeiten der Gesellschaft </w:t>
      </w:r>
      <w:r w:rsidR="00AA3B6C">
        <w:rPr>
          <w:bCs/>
        </w:rPr>
        <w:t xml:space="preserve">keine </w:t>
      </w:r>
      <w:r w:rsidRPr="008930D7">
        <w:rPr>
          <w:bCs/>
        </w:rPr>
        <w:t>Bürgschaften, Garantien oder sonstige Avale oder Sicherheiten übernommen haben.</w:t>
      </w:r>
    </w:p>
    <w:p w14:paraId="6BAB7C89" w14:textId="4B7F2F3D" w:rsidR="008930D7" w:rsidRPr="008930D7" w:rsidRDefault="004D1BBC" w:rsidP="00015C3D">
      <w:pPr>
        <w:pStyle w:val="TWNummerierung1"/>
      </w:pPr>
      <w:r>
        <w:t>An</w:t>
      </w:r>
      <w:r w:rsidR="001D4AC2">
        <w:t>lage</w:t>
      </w:r>
      <w:r w:rsidR="008930D7" w:rsidRPr="008930D7">
        <w:t>- und Umlaufvermögen</w:t>
      </w:r>
    </w:p>
    <w:p w14:paraId="2CD58AFB" w14:textId="37EDAF54" w:rsidR="008930D7" w:rsidRPr="008930D7" w:rsidRDefault="008930D7" w:rsidP="00015C3D">
      <w:pPr>
        <w:pStyle w:val="TWNummerierung2"/>
      </w:pPr>
      <w:bookmarkStart w:id="4" w:name="_Ref136354932"/>
      <w:bookmarkStart w:id="5" w:name="_Ref136351657"/>
      <w:r w:rsidRPr="008930D7">
        <w:t xml:space="preserve">Das </w:t>
      </w:r>
      <w:r w:rsidR="004D1BBC">
        <w:t>An</w:t>
      </w:r>
      <w:r w:rsidR="001D4AC2">
        <w:t>lage</w:t>
      </w:r>
      <w:r w:rsidRPr="008930D7">
        <w:t>- und Umlaufvermögen</w:t>
      </w:r>
      <w:r w:rsidR="00015C3D">
        <w:t xml:space="preserve"> (</w:t>
      </w:r>
      <w:r w:rsidRPr="008930D7">
        <w:t>nachstehend als „</w:t>
      </w:r>
      <w:r w:rsidR="004D1BBC">
        <w:rPr>
          <w:b/>
        </w:rPr>
        <w:t>An</w:t>
      </w:r>
      <w:r w:rsidR="0005624F">
        <w:rPr>
          <w:b/>
        </w:rPr>
        <w:t>lage</w:t>
      </w:r>
      <w:r w:rsidRPr="008930D7">
        <w:rPr>
          <w:b/>
        </w:rPr>
        <w:t>- und Umlaufvermögen</w:t>
      </w:r>
      <w:r w:rsidRPr="008930D7">
        <w:t>“ bezeichnet</w:t>
      </w:r>
      <w:r w:rsidR="00015C3D">
        <w:t>)</w:t>
      </w:r>
      <w:r w:rsidRPr="008930D7">
        <w:t>, das den Jahresabschlüssen zugrunde liegt, steht im Eigentum der Gesellschaft mit Ausnahme von Vermögensgegenständen,</w:t>
      </w:r>
      <w:bookmarkEnd w:id="4"/>
    </w:p>
    <w:p w14:paraId="174198BA" w14:textId="341B7E3A" w:rsidR="008930D7" w:rsidRPr="008930D7" w:rsidRDefault="008930D7" w:rsidP="00015C3D">
      <w:pPr>
        <w:pStyle w:val="TWNummerierung3"/>
      </w:pPr>
      <w:r w:rsidRPr="008930D7">
        <w:t>die einem im gewöhnlichen Geschäftsgang vereinbarten Eigentumsvorbehalt unterliegen</w:t>
      </w:r>
      <w:r w:rsidR="00AA3B6C">
        <w:t xml:space="preserve"> </w:t>
      </w:r>
      <w:r w:rsidR="00AA3B6C" w:rsidRPr="00AA3B6C">
        <w:t xml:space="preserve">oder gemäß </w:t>
      </w:r>
      <w:r w:rsidR="00AA3B6C" w:rsidRPr="00E84DFA">
        <w:rPr>
          <w:u w:val="single"/>
        </w:rPr>
        <w:t xml:space="preserve">Anhang </w:t>
      </w:r>
      <w:r w:rsidR="00AA3B6C" w:rsidRPr="00E84DFA">
        <w:rPr>
          <w:u w:val="single"/>
        </w:rPr>
        <w:fldChar w:fldCharType="begin"/>
      </w:r>
      <w:r w:rsidR="00AA3B6C" w:rsidRPr="00E84DFA">
        <w:rPr>
          <w:u w:val="single"/>
        </w:rPr>
        <w:instrText xml:space="preserve"> REF _Ref136351535 \r \h </w:instrText>
      </w:r>
      <w:r w:rsidR="00AA3B6C" w:rsidRPr="00E84DFA">
        <w:rPr>
          <w:u w:val="single"/>
        </w:rPr>
      </w:r>
      <w:r w:rsidR="00AA3B6C" w:rsidRPr="00E84DFA">
        <w:rPr>
          <w:u w:val="single"/>
        </w:rPr>
        <w:fldChar w:fldCharType="separate"/>
      </w:r>
      <w:r w:rsidR="00AA3B6C" w:rsidRPr="00E84DFA">
        <w:rPr>
          <w:u w:val="single"/>
        </w:rPr>
        <w:t>1.5</w:t>
      </w:r>
      <w:r w:rsidR="00AA3B6C" w:rsidRPr="00E84DFA">
        <w:rPr>
          <w:u w:val="single"/>
        </w:rPr>
        <w:fldChar w:fldCharType="end"/>
      </w:r>
      <w:r w:rsidR="00AA3B6C" w:rsidRPr="00AA3B6C">
        <w:t xml:space="preserve"> als Sicherheit bestellt wurden</w:t>
      </w:r>
      <w:r w:rsidRPr="008930D7">
        <w:t>,</w:t>
      </w:r>
    </w:p>
    <w:p w14:paraId="4A8CCD5E" w14:textId="77777777" w:rsidR="008930D7" w:rsidRPr="008930D7" w:rsidRDefault="008930D7" w:rsidP="00015C3D">
      <w:pPr>
        <w:pStyle w:val="TWNummerierung3"/>
      </w:pPr>
      <w:r w:rsidRPr="008930D7">
        <w:t xml:space="preserve">über die im Rahmen des gewöhnlichen Geschäftsbetriebes verfügt wurde oder </w:t>
      </w:r>
    </w:p>
    <w:p w14:paraId="16AF7906" w14:textId="737AAB9E" w:rsidR="008930D7" w:rsidRPr="008930D7" w:rsidRDefault="008930D7" w:rsidP="00015C3D">
      <w:pPr>
        <w:pStyle w:val="TWNummerierung3"/>
      </w:pPr>
      <w:r w:rsidRPr="008930D7">
        <w:t xml:space="preserve">die in </w:t>
      </w:r>
      <w:r w:rsidR="004D1BBC">
        <w:rPr>
          <w:b/>
          <w:bCs/>
          <w:u w:val="single"/>
        </w:rPr>
        <w:t>Anhang</w:t>
      </w:r>
      <w:r w:rsidRPr="008930D7">
        <w:rPr>
          <w:b/>
          <w:bCs/>
          <w:u w:val="single"/>
        </w:rPr>
        <w:t xml:space="preserve"> </w:t>
      </w:r>
      <w:r w:rsidR="004D1BBC">
        <w:rPr>
          <w:b/>
          <w:bCs/>
          <w:u w:val="single"/>
        </w:rPr>
        <w:t>2</w:t>
      </w:r>
      <w:r w:rsidR="00015C3D" w:rsidRPr="00015C3D">
        <w:rPr>
          <w:b/>
          <w:bCs/>
          <w:u w:val="single"/>
        </w:rPr>
        <w:t>.1</w:t>
      </w:r>
      <w:r w:rsidRPr="008930D7">
        <w:t xml:space="preserve"> aufgeführt sind.</w:t>
      </w:r>
    </w:p>
    <w:bookmarkEnd w:id="5"/>
    <w:p w14:paraId="64C2A7E8" w14:textId="1562BF54" w:rsidR="008930D7" w:rsidRPr="008930D7" w:rsidRDefault="008930D7" w:rsidP="00015C3D">
      <w:pPr>
        <w:pStyle w:val="TWNummerierung2"/>
        <w:rPr>
          <w:bCs/>
        </w:rPr>
      </w:pPr>
      <w:r w:rsidRPr="008930D7">
        <w:rPr>
          <w:bCs/>
        </w:rPr>
        <w:t xml:space="preserve">Das </w:t>
      </w:r>
      <w:r w:rsidR="004D1BBC">
        <w:rPr>
          <w:bCs/>
        </w:rPr>
        <w:t>An</w:t>
      </w:r>
      <w:r w:rsidR="0005624F">
        <w:rPr>
          <w:bCs/>
        </w:rPr>
        <w:t>lage</w:t>
      </w:r>
      <w:r w:rsidRPr="008930D7">
        <w:rPr>
          <w:bCs/>
        </w:rPr>
        <w:t xml:space="preserve">- und Umlaufvermögen ist frei von Rechten und Belastungen Dritter, soweit das </w:t>
      </w:r>
      <w:r w:rsidR="004D1BBC">
        <w:rPr>
          <w:bCs/>
        </w:rPr>
        <w:t>An</w:t>
      </w:r>
      <w:r w:rsidR="0005624F">
        <w:rPr>
          <w:bCs/>
        </w:rPr>
        <w:t>lage</w:t>
      </w:r>
      <w:r w:rsidRPr="008930D7">
        <w:rPr>
          <w:bCs/>
        </w:rPr>
        <w:t>- und Umlaufvermögen nicht im Rahmen des gewöhnlichen Geschäftsbetriebes mit Drittrechten belastet wurde.</w:t>
      </w:r>
    </w:p>
    <w:p w14:paraId="1AB0491F" w14:textId="41717C6E" w:rsidR="008930D7" w:rsidRPr="008930D7" w:rsidRDefault="008930D7" w:rsidP="00015C3D">
      <w:pPr>
        <w:pStyle w:val="TWNummerierung2"/>
        <w:rPr>
          <w:bCs/>
        </w:rPr>
      </w:pPr>
      <w:r w:rsidRPr="008930D7">
        <w:rPr>
          <w:bCs/>
        </w:rPr>
        <w:t xml:space="preserve">Das </w:t>
      </w:r>
      <w:r w:rsidR="004D1BBC">
        <w:rPr>
          <w:bCs/>
        </w:rPr>
        <w:t>An</w:t>
      </w:r>
      <w:r w:rsidR="0005624F">
        <w:rPr>
          <w:bCs/>
        </w:rPr>
        <w:t>lage</w:t>
      </w:r>
      <w:r w:rsidRPr="008930D7">
        <w:rPr>
          <w:bCs/>
        </w:rPr>
        <w:t xml:space="preserve">- und Umlaufvermögen ist gebrauchsfähig bzw. in gebrauchsfähigem Zustand und unterliegt nur der gewöhnlichen Abnutzung. Gebäude, </w:t>
      </w:r>
      <w:r w:rsidR="004D1BBC">
        <w:rPr>
          <w:bCs/>
        </w:rPr>
        <w:t>An</w:t>
      </w:r>
      <w:r w:rsidR="0005624F">
        <w:rPr>
          <w:bCs/>
        </w:rPr>
        <w:t>lage</w:t>
      </w:r>
      <w:r w:rsidRPr="008930D7">
        <w:rPr>
          <w:bCs/>
        </w:rPr>
        <w:t>n und Maschinen wurden in den letzten fünf (5) Jahren ordnungsgemäß</w:t>
      </w:r>
      <w:r w:rsidR="00AA3B6C">
        <w:rPr>
          <w:bCs/>
        </w:rPr>
        <w:t xml:space="preserve"> und</w:t>
      </w:r>
      <w:r w:rsidRPr="008930D7">
        <w:rPr>
          <w:bCs/>
        </w:rPr>
        <w:t xml:space="preserve"> regelmäßig</w:t>
      </w:r>
      <w:r w:rsidR="00AA3B6C">
        <w:rPr>
          <w:bCs/>
        </w:rPr>
        <w:t xml:space="preserve"> gewartet und ihre Nutzung </w:t>
      </w:r>
      <w:r w:rsidRPr="008930D7">
        <w:rPr>
          <w:bCs/>
        </w:rPr>
        <w:t xml:space="preserve">entsprechend den </w:t>
      </w:r>
      <w:r w:rsidR="00AA3B6C">
        <w:rPr>
          <w:bCs/>
        </w:rPr>
        <w:t xml:space="preserve">jeweils </w:t>
      </w:r>
      <w:r w:rsidRPr="008930D7">
        <w:rPr>
          <w:bCs/>
        </w:rPr>
        <w:t xml:space="preserve">anwendbaren Bestimmungen nicht beanstandet. Im Übrigen befinden sich Gebäude, </w:t>
      </w:r>
      <w:r w:rsidR="004D1BBC">
        <w:rPr>
          <w:bCs/>
        </w:rPr>
        <w:t>An</w:t>
      </w:r>
      <w:r w:rsidR="0005624F">
        <w:rPr>
          <w:bCs/>
        </w:rPr>
        <w:t>lage</w:t>
      </w:r>
      <w:r w:rsidRPr="008930D7">
        <w:rPr>
          <w:bCs/>
        </w:rPr>
        <w:t>n und Maschinen in einem ordnungsgemäßen Zustand</w:t>
      </w:r>
      <w:r w:rsidR="00AA3B6C">
        <w:rPr>
          <w:bCs/>
        </w:rPr>
        <w:t xml:space="preserve"> </w:t>
      </w:r>
      <w:r w:rsidR="00AA3B6C" w:rsidRPr="00AA3B6C">
        <w:rPr>
          <w:bCs/>
        </w:rPr>
        <w:t>und es gibt keinen wesentlichen Investitionsstau</w:t>
      </w:r>
      <w:r w:rsidRPr="008930D7">
        <w:rPr>
          <w:bCs/>
        </w:rPr>
        <w:t>.</w:t>
      </w:r>
    </w:p>
    <w:p w14:paraId="77F1FBEE" w14:textId="39BF7189" w:rsidR="008930D7" w:rsidRPr="008930D7" w:rsidRDefault="00AA3B6C" w:rsidP="00015C3D">
      <w:pPr>
        <w:pStyle w:val="TWNummerierung1"/>
      </w:pPr>
      <w:r>
        <w:t>Geschäftsausstattung</w:t>
      </w:r>
    </w:p>
    <w:p w14:paraId="195AD937" w14:textId="76CD140B" w:rsidR="008930D7" w:rsidRPr="008930D7" w:rsidRDefault="008930D7" w:rsidP="00015C3D">
      <w:pPr>
        <w:pStyle w:val="TWTextebene12"/>
      </w:pPr>
      <w:r w:rsidRPr="008930D7">
        <w:t xml:space="preserve">Soweit sich nicht sonst etwas anderes aus diesem </w:t>
      </w:r>
      <w:r w:rsidR="00C662B8">
        <w:t>Vertrag</w:t>
      </w:r>
      <w:r w:rsidRPr="008930D7">
        <w:t xml:space="preserve"> ergibt, steht der Gesellschaft entweder das Eigentum, der Besitz, die Lizenz oder ein anderes Nutzungsrecht an allen wesentlichen Wirtschaftsgütern zu, die im Geschäftsbetrieb der Gesellschaft genutzt werden und für die Fortführung des Geschäftsbetriebs in der gegenwärtigen Weise erforderlich sind.</w:t>
      </w:r>
    </w:p>
    <w:p w14:paraId="4D4BE148" w14:textId="77777777" w:rsidR="008930D7" w:rsidRPr="008930D7" w:rsidRDefault="008930D7" w:rsidP="00015C3D">
      <w:pPr>
        <w:pStyle w:val="TWNummerierung1"/>
      </w:pPr>
      <w:r w:rsidRPr="008930D7">
        <w:lastRenderedPageBreak/>
        <w:t>Grundbesitz</w:t>
      </w:r>
    </w:p>
    <w:p w14:paraId="730E59E0" w14:textId="0DFD5905" w:rsidR="008930D7" w:rsidRPr="008930D7" w:rsidRDefault="00AA3B6C" w:rsidP="00015C3D">
      <w:pPr>
        <w:pStyle w:val="TWNummerierung2"/>
      </w:pPr>
      <w:r>
        <w:t xml:space="preserve">Die Gesellschaft ist nicht Eigentümerin von </w:t>
      </w:r>
      <w:r w:rsidR="008930D7" w:rsidRPr="008930D7">
        <w:t>Grundstück</w:t>
      </w:r>
      <w:r>
        <w:t>en</w:t>
      </w:r>
      <w:r w:rsidR="00076F3A">
        <w:t xml:space="preserve"> oder</w:t>
      </w:r>
      <w:r w:rsidR="008930D7" w:rsidRPr="008930D7">
        <w:t xml:space="preserve"> grundstücksgleiche</w:t>
      </w:r>
      <w:r w:rsidR="00076F3A">
        <w:t>n</w:t>
      </w:r>
      <w:r w:rsidR="008930D7" w:rsidRPr="008930D7">
        <w:t xml:space="preserve"> Recht</w:t>
      </w:r>
      <w:r w:rsidR="00076F3A">
        <w:t>en</w:t>
      </w:r>
      <w:r w:rsidR="008930D7" w:rsidRPr="008930D7">
        <w:t>.</w:t>
      </w:r>
    </w:p>
    <w:p w14:paraId="089AD499" w14:textId="649D8671" w:rsidR="008930D7" w:rsidRPr="008930D7" w:rsidRDefault="004D1BBC" w:rsidP="00015C3D">
      <w:pPr>
        <w:pStyle w:val="TWNummerierung2"/>
        <w:rPr>
          <w:bCs/>
        </w:rPr>
      </w:pPr>
      <w:bookmarkStart w:id="6" w:name="_Ref136351892"/>
      <w:r>
        <w:rPr>
          <w:b/>
          <w:bCs/>
          <w:u w:val="single"/>
        </w:rPr>
        <w:t>Anhang</w:t>
      </w:r>
      <w:r w:rsidR="008930D7" w:rsidRPr="008930D7">
        <w:rPr>
          <w:b/>
          <w:bCs/>
          <w:u w:val="single"/>
        </w:rPr>
        <w:t xml:space="preserve"> </w:t>
      </w:r>
      <w:r>
        <w:rPr>
          <w:b/>
          <w:bCs/>
          <w:u w:val="single"/>
        </w:rPr>
        <w:t>4</w:t>
      </w:r>
      <w:r w:rsidR="00015C3D" w:rsidRPr="00015C3D">
        <w:rPr>
          <w:b/>
          <w:bCs/>
          <w:u w:val="single"/>
        </w:rPr>
        <w:t>.2</w:t>
      </w:r>
      <w:r w:rsidR="008930D7" w:rsidRPr="008930D7">
        <w:rPr>
          <w:bCs/>
        </w:rPr>
        <w:t xml:space="preserve"> enthält eine zutreffende und vollständige Aufstellung sämtlicher von der Gesellschaft als Vermieterin oder Mieterin abgeschlossener Miet-, Pacht- oder Nutzungsverträge (inklusive aller Nachträge) über unbewegliche Sachen („</w:t>
      </w:r>
      <w:r w:rsidR="008930D7" w:rsidRPr="008930D7">
        <w:rPr>
          <w:b/>
          <w:bCs/>
        </w:rPr>
        <w:t>Gebäude</w:t>
      </w:r>
      <w:r w:rsidR="008930D7" w:rsidRPr="008930D7">
        <w:rPr>
          <w:bCs/>
        </w:rPr>
        <w:t xml:space="preserve">“) </w:t>
      </w:r>
      <w:r w:rsidR="00076F3A">
        <w:rPr>
          <w:bCs/>
        </w:rPr>
        <w:t>unter</w:t>
      </w:r>
      <w:r w:rsidR="00076F3A" w:rsidRPr="008930D7">
        <w:rPr>
          <w:bCs/>
        </w:rPr>
        <w:t xml:space="preserve"> </w:t>
      </w:r>
      <w:r w:rsidR="00076F3A">
        <w:rPr>
          <w:bCs/>
        </w:rPr>
        <w:t xml:space="preserve">nach </w:t>
      </w:r>
      <w:proofErr w:type="spellStart"/>
      <w:r w:rsidR="00076F3A">
        <w:rPr>
          <w:bCs/>
        </w:rPr>
        <w:t>Bestem</w:t>
      </w:r>
      <w:proofErr w:type="spellEnd"/>
      <w:r w:rsidR="00076F3A">
        <w:rPr>
          <w:bCs/>
        </w:rPr>
        <w:t xml:space="preserve"> Wissen der Verkäufer erfolgter Angabe </w:t>
      </w:r>
      <w:r w:rsidR="008930D7" w:rsidRPr="008930D7">
        <w:rPr>
          <w:bCs/>
        </w:rPr>
        <w:t>der jeweils vereinbarten Mietfläche, dem geschuldeten Mietzins, der vereinbarten Festlaufzeit des jeweiligen Mietverhältnisses und etwaigen Verlängerungsoptionen, Kautionen sowie etwa am Unterzeichnungs</w:t>
      </w:r>
      <w:r w:rsidR="006D7E9A">
        <w:rPr>
          <w:bCs/>
        </w:rPr>
        <w:t>stich</w:t>
      </w:r>
      <w:r w:rsidR="008930D7" w:rsidRPr="008930D7">
        <w:rPr>
          <w:bCs/>
        </w:rPr>
        <w:t>tag bereits erklärter, angekündigter oder zu erwartender Kündigungen („</w:t>
      </w:r>
      <w:r w:rsidR="008930D7" w:rsidRPr="008930D7">
        <w:rPr>
          <w:b/>
          <w:bCs/>
        </w:rPr>
        <w:t>Mietverträge</w:t>
      </w:r>
      <w:r w:rsidR="008930D7" w:rsidRPr="008930D7">
        <w:rPr>
          <w:bCs/>
        </w:rPr>
        <w:t xml:space="preserve">“). Die Gesellschaft hat ihre Verpflichtungen aus den Mietverträgen ordnungsgemäß erfüllt. </w:t>
      </w:r>
      <w:r w:rsidR="00076F3A">
        <w:rPr>
          <w:bCs/>
        </w:rPr>
        <w:t>Soweit nicht in</w:t>
      </w:r>
      <w:r w:rsidR="008930D7" w:rsidRPr="008930D7">
        <w:rPr>
          <w:bCs/>
        </w:rPr>
        <w:t xml:space="preserve"> </w:t>
      </w:r>
      <w:r>
        <w:rPr>
          <w:bCs/>
          <w:u w:val="single"/>
        </w:rPr>
        <w:t>Anhang</w:t>
      </w:r>
      <w:r w:rsidR="008930D7" w:rsidRPr="008930D7">
        <w:rPr>
          <w:bCs/>
          <w:u w:val="single"/>
        </w:rPr>
        <w:t xml:space="preserve"> </w:t>
      </w:r>
      <w:r>
        <w:rPr>
          <w:bCs/>
          <w:u w:val="single"/>
        </w:rPr>
        <w:t>4</w:t>
      </w:r>
      <w:r w:rsidR="006D7E9A" w:rsidRPr="006D7E9A">
        <w:rPr>
          <w:bCs/>
          <w:u w:val="single"/>
        </w:rPr>
        <w:t>.2</w:t>
      </w:r>
      <w:r w:rsidR="008930D7" w:rsidRPr="008930D7">
        <w:rPr>
          <w:bCs/>
        </w:rPr>
        <w:t xml:space="preserve"> explizit aufgeführt</w:t>
      </w:r>
      <w:r w:rsidR="00076F3A">
        <w:rPr>
          <w:bCs/>
        </w:rPr>
        <w:t>,</w:t>
      </w:r>
      <w:r w:rsidR="008930D7" w:rsidRPr="008930D7">
        <w:rPr>
          <w:bCs/>
        </w:rPr>
        <w:t xml:space="preserve"> </w:t>
      </w:r>
      <w:r w:rsidR="00076F3A">
        <w:rPr>
          <w:bCs/>
        </w:rPr>
        <w:t>wurde</w:t>
      </w:r>
      <w:r w:rsidR="00076F3A" w:rsidRPr="008930D7">
        <w:rPr>
          <w:bCs/>
        </w:rPr>
        <w:t xml:space="preserve"> </w:t>
      </w:r>
      <w:r w:rsidR="008930D7" w:rsidRPr="008930D7">
        <w:rPr>
          <w:bCs/>
        </w:rPr>
        <w:t xml:space="preserve">keiner der Mietverträge gekündigt oder in sonstiger Weise beendet. Es liegen nach </w:t>
      </w:r>
      <w:proofErr w:type="spellStart"/>
      <w:r w:rsidR="008930D7" w:rsidRPr="008930D7">
        <w:rPr>
          <w:bCs/>
        </w:rPr>
        <w:t>Bestem</w:t>
      </w:r>
      <w:proofErr w:type="spellEnd"/>
      <w:r w:rsidR="008930D7" w:rsidRPr="008930D7">
        <w:rPr>
          <w:bCs/>
        </w:rPr>
        <w:t xml:space="preserve"> Wissen der Verkäufer keine Umstände vor, die einem Vertragspartner der Gesellschaft ein Recht zur außerordentlichen Kündigung eines Mietvertrages geben würden</w:t>
      </w:r>
      <w:r w:rsidR="00076F3A">
        <w:rPr>
          <w:bCs/>
        </w:rPr>
        <w:t xml:space="preserve"> </w:t>
      </w:r>
      <w:r w:rsidR="00076F3A" w:rsidRPr="00076F3A">
        <w:rPr>
          <w:bCs/>
        </w:rPr>
        <w:t>oder sonst zur Unwirksamkeit der Mietverträge führen oder geführt haben</w:t>
      </w:r>
      <w:r w:rsidR="008930D7" w:rsidRPr="008930D7">
        <w:rPr>
          <w:bCs/>
        </w:rPr>
        <w:t>.</w:t>
      </w:r>
      <w:bookmarkEnd w:id="6"/>
    </w:p>
    <w:p w14:paraId="36DAAC8D" w14:textId="3E12EB2B" w:rsidR="008930D7" w:rsidRPr="008930D7" w:rsidRDefault="008930D7" w:rsidP="006D7E9A">
      <w:pPr>
        <w:pStyle w:val="TWNummerierung2"/>
      </w:pPr>
      <w:r w:rsidRPr="008930D7">
        <w:t xml:space="preserve">Die Gesellschaft ist </w:t>
      </w:r>
      <w:r w:rsidR="00076F3A">
        <w:t xml:space="preserve">nach </w:t>
      </w:r>
      <w:proofErr w:type="spellStart"/>
      <w:r w:rsidR="00076F3A">
        <w:t>Bestem</w:t>
      </w:r>
      <w:proofErr w:type="spellEnd"/>
      <w:r w:rsidR="00076F3A">
        <w:t xml:space="preserve"> Wissen der Verkäufer </w:t>
      </w:r>
      <w:r w:rsidRPr="008930D7">
        <w:t>zur unbeschränkten Nutzung der Gebäude in der gegenwärtigen Weise berechtigt, vorbehaltlich gesetzlicher Bestimmungen sowie der Bedingungen der Mietverträge.</w:t>
      </w:r>
    </w:p>
    <w:p w14:paraId="7E1A752F" w14:textId="19BC760E" w:rsidR="008930D7" w:rsidRPr="008930D7" w:rsidRDefault="00076F3A" w:rsidP="006D7E9A">
      <w:pPr>
        <w:pStyle w:val="TWNummerierung2"/>
      </w:pPr>
      <w:r>
        <w:t xml:space="preserve">Nach jeweils </w:t>
      </w:r>
      <w:proofErr w:type="spellStart"/>
      <w:r>
        <w:t>Bestem</w:t>
      </w:r>
      <w:proofErr w:type="spellEnd"/>
      <w:r>
        <w:t xml:space="preserve"> Wissen der Verkäufer weisen d</w:t>
      </w:r>
      <w:r w:rsidR="008930D7" w:rsidRPr="008930D7">
        <w:t xml:space="preserve">ie von der Gesellschaft genutzten Gebäude und </w:t>
      </w:r>
      <w:r w:rsidR="004D1BBC">
        <w:t>An</w:t>
      </w:r>
      <w:r w:rsidR="0005624F">
        <w:t>lage</w:t>
      </w:r>
      <w:r w:rsidR="008930D7" w:rsidRPr="008930D7">
        <w:t>n keine wesentlichen Mängel auf, befinden sich in gutem Betriebs- und Erhaltungszustand und sind, soweit die Gesellschaft hierzu gemäß jeweiligem Mietvertrag verpflichtet ist, ordnungsgemäß und regelmäßig gewartet worden.</w:t>
      </w:r>
      <w:r>
        <w:t xml:space="preserve"> </w:t>
      </w:r>
      <w:r w:rsidRPr="00076F3A">
        <w:t>Die gemieteten Gebäude wurden nicht umgebaut oder mit festen Einbauten versehen, die zu einer wesentlichen Rückbauverpflichtung bei Mietende führen.</w:t>
      </w:r>
    </w:p>
    <w:p w14:paraId="580E95B7" w14:textId="77777777" w:rsidR="008930D7" w:rsidRPr="008930D7" w:rsidRDefault="008930D7" w:rsidP="006D7E9A">
      <w:pPr>
        <w:pStyle w:val="TWNummerierung1"/>
      </w:pPr>
      <w:r w:rsidRPr="008930D7">
        <w:t>Gewerbliche Schutzrechte, IT, Datenschutz</w:t>
      </w:r>
    </w:p>
    <w:p w14:paraId="4292813F" w14:textId="36677DD4" w:rsidR="008930D7" w:rsidRPr="008930D7" w:rsidRDefault="008930D7" w:rsidP="006D7E9A">
      <w:pPr>
        <w:pStyle w:val="TWNummerierung2"/>
      </w:pPr>
      <w:r w:rsidRPr="008930D7">
        <w:t>„</w:t>
      </w:r>
      <w:r w:rsidRPr="008930D7">
        <w:rPr>
          <w:b/>
        </w:rPr>
        <w:t>Gewerbliche Schutzrechte</w:t>
      </w:r>
      <w:r w:rsidR="006D7E9A" w:rsidRPr="006D7E9A">
        <w:rPr>
          <w:bCs/>
        </w:rPr>
        <w:t>“</w:t>
      </w:r>
      <w:r w:rsidRPr="008930D7">
        <w:t xml:space="preserve"> im Sinne dieses </w:t>
      </w:r>
      <w:r w:rsidR="00C662B8">
        <w:t>Vertrag</w:t>
      </w:r>
      <w:r w:rsidRPr="008930D7">
        <w:t>es sind alle geistigen Eigentumsrechte und ähnlichen Rechte, unabhängig davon, ob sie in ein öffentliches Register eingetragen sind oder eingetragen werden können. Dazu zählen Patente, Marken, Firmen und Handelsnamen, Arbeitsergebnisse, Urheberrechte einschließlich Nutzungs- und Verwertungsrechte an Computersoftware, Rechte an Internet-Domains, Geschmacks- und Gebrauchsmuster, geschäftliche Bezeichnungen oder geografische Angaben, einschließlich aller Anmeldungen für eines der vorgenannten Rechte.</w:t>
      </w:r>
    </w:p>
    <w:p w14:paraId="097519B8" w14:textId="6E09BAAB" w:rsidR="008930D7" w:rsidRPr="008930D7" w:rsidRDefault="00076F3A" w:rsidP="008D0E72">
      <w:pPr>
        <w:pStyle w:val="TWNummerierung2"/>
        <w:rPr>
          <w:bCs/>
        </w:rPr>
      </w:pPr>
      <w:bookmarkStart w:id="7" w:name="_Ref136352118"/>
      <w:r>
        <w:rPr>
          <w:bCs/>
        </w:rPr>
        <w:lastRenderedPageBreak/>
        <w:t>D</w:t>
      </w:r>
      <w:r w:rsidR="008930D7" w:rsidRPr="008930D7">
        <w:rPr>
          <w:bCs/>
        </w:rPr>
        <w:t xml:space="preserve">ie Gesellschaft </w:t>
      </w:r>
      <w:r>
        <w:rPr>
          <w:bCs/>
        </w:rPr>
        <w:t xml:space="preserve">ist </w:t>
      </w:r>
      <w:r w:rsidR="008930D7" w:rsidRPr="008930D7">
        <w:rPr>
          <w:bCs/>
        </w:rPr>
        <w:t xml:space="preserve">Eigentümerin oder hält gültige Lizenzen oder sonstige Nutzungsberechtigungen an den Gewerblichen Schutzrechten, die in </w:t>
      </w:r>
      <w:r w:rsidR="004D1BBC">
        <w:rPr>
          <w:b/>
          <w:bCs/>
          <w:u w:val="single"/>
        </w:rPr>
        <w:t>Anhang</w:t>
      </w:r>
      <w:r w:rsidR="008D0E72" w:rsidRPr="008D0E72">
        <w:rPr>
          <w:b/>
          <w:bCs/>
          <w:u w:val="single"/>
        </w:rPr>
        <w:t xml:space="preserve"> </w:t>
      </w:r>
      <w:r w:rsidR="004D1BBC">
        <w:rPr>
          <w:b/>
          <w:bCs/>
          <w:u w:val="single"/>
        </w:rPr>
        <w:t>5</w:t>
      </w:r>
      <w:r w:rsidR="008D0E72" w:rsidRPr="008D0E72">
        <w:rPr>
          <w:b/>
          <w:bCs/>
          <w:u w:val="single"/>
        </w:rPr>
        <w:t>.2</w:t>
      </w:r>
      <w:r w:rsidR="008930D7" w:rsidRPr="008930D7">
        <w:rPr>
          <w:bCs/>
        </w:rPr>
        <w:t xml:space="preserve"> (getrennt nach im Eigentum der Gesellschaft stehenden Gewerblichen Schutzrechten und solchen, die lizenziert sind) aufgelistet sind. Neben den in </w:t>
      </w:r>
      <w:r w:rsidR="004D1BBC">
        <w:rPr>
          <w:bCs/>
          <w:u w:val="single"/>
        </w:rPr>
        <w:t>Anhang</w:t>
      </w:r>
      <w:r w:rsidR="008930D7" w:rsidRPr="008930D7">
        <w:rPr>
          <w:bCs/>
          <w:u w:val="single"/>
        </w:rPr>
        <w:t xml:space="preserve"> </w:t>
      </w:r>
      <w:r w:rsidR="004D1BBC">
        <w:rPr>
          <w:bCs/>
          <w:u w:val="single"/>
        </w:rPr>
        <w:t>5</w:t>
      </w:r>
      <w:r w:rsidR="008D0E72" w:rsidRPr="008D0E72">
        <w:rPr>
          <w:bCs/>
          <w:u w:val="single"/>
        </w:rPr>
        <w:t>.2</w:t>
      </w:r>
      <w:r w:rsidR="008930D7" w:rsidRPr="008930D7">
        <w:rPr>
          <w:bCs/>
        </w:rPr>
        <w:t xml:space="preserve"> aufgelisteten benötigt die Gesellschaft keine weitergehenden Gewerblichen Schutzrechte zur uneingeschränkten Fortführung des Geschäftsbetriebes in dem gegenwärtigen und geplanten Umfang. Die der Gesellschaft gehörenden Gewerblichen Schutzrechte sind nicht mit Rechten Dritter belastet. Die Gesellschaft hat die in ihrem Eigentum stehenden Marken in allen Waren- und Dienstleistungsklassen rechtserhaltend benutzt. Die Gesellschaft hat alle fälligen Gebühren </w:t>
      </w:r>
      <w:r>
        <w:rPr>
          <w:bCs/>
        </w:rPr>
        <w:t xml:space="preserve">für ihre Gewerblichen Schutzrechte </w:t>
      </w:r>
      <w:r w:rsidR="008930D7" w:rsidRPr="008930D7">
        <w:rPr>
          <w:bCs/>
        </w:rPr>
        <w:t>(wie Registrierungs- und Lizenzgebühren) rechtzeitig bezahlt, alle erforderlichen Anträge gestellt und alle sonstigen erforderlichen Maßnahmen getroffen.</w:t>
      </w:r>
      <w:bookmarkEnd w:id="7"/>
    </w:p>
    <w:p w14:paraId="6C68546C" w14:textId="06F3D856" w:rsidR="008930D7" w:rsidRPr="008930D7" w:rsidRDefault="008930D7" w:rsidP="008D0E72">
      <w:pPr>
        <w:pStyle w:val="TWNummerierung2"/>
        <w:rPr>
          <w:bCs/>
        </w:rPr>
      </w:pPr>
      <w:r w:rsidRPr="008930D7">
        <w:rPr>
          <w:bCs/>
        </w:rPr>
        <w:t>Bezüglich der Ausübung der Gewerblichen Schutzrechte</w:t>
      </w:r>
      <w:r w:rsidR="00601AAA">
        <w:rPr>
          <w:bCs/>
        </w:rPr>
        <w:t>, die der Gesellschaft gehören oder von ihr genutzt werden,</w:t>
      </w:r>
      <w:r w:rsidRPr="008930D7">
        <w:rPr>
          <w:bCs/>
        </w:rPr>
        <w:t xml:space="preserve"> </w:t>
      </w:r>
      <w:r w:rsidR="00DB0928">
        <w:rPr>
          <w:bCs/>
        </w:rPr>
        <w:t>sind</w:t>
      </w:r>
      <w:r w:rsidR="00DB0928" w:rsidRPr="008930D7">
        <w:rPr>
          <w:bCs/>
        </w:rPr>
        <w:t xml:space="preserve"> </w:t>
      </w:r>
      <w:proofErr w:type="gramStart"/>
      <w:r w:rsidRPr="008930D7">
        <w:rPr>
          <w:bCs/>
        </w:rPr>
        <w:t xml:space="preserve">keine </w:t>
      </w:r>
      <w:r w:rsidR="00DB0928">
        <w:rPr>
          <w:bCs/>
        </w:rPr>
        <w:t xml:space="preserve"> </w:t>
      </w:r>
      <w:r w:rsidRPr="008930D7">
        <w:rPr>
          <w:bCs/>
        </w:rPr>
        <w:t>Gerichtsverfahren</w:t>
      </w:r>
      <w:proofErr w:type="gramEnd"/>
      <w:r w:rsidRPr="008930D7">
        <w:rPr>
          <w:bCs/>
        </w:rPr>
        <w:t>, Widersprüche, Widerrufe, Annullierungen oder Einschränkungen</w:t>
      </w:r>
      <w:r w:rsidR="00DB0928" w:rsidRPr="00DB0928">
        <w:rPr>
          <w:bCs/>
        </w:rPr>
        <w:t xml:space="preserve"> </w:t>
      </w:r>
      <w:r w:rsidR="00DB0928" w:rsidRPr="008930D7">
        <w:rPr>
          <w:bCs/>
        </w:rPr>
        <w:t>rechtshängig</w:t>
      </w:r>
      <w:r w:rsidR="00DB0928">
        <w:rPr>
          <w:bCs/>
        </w:rPr>
        <w:t>,</w:t>
      </w:r>
      <w:r w:rsidR="00DB0928" w:rsidRPr="008930D7">
        <w:rPr>
          <w:bCs/>
        </w:rPr>
        <w:t xml:space="preserve"> angedroht</w:t>
      </w:r>
      <w:r w:rsidR="00DB0928">
        <w:rPr>
          <w:bCs/>
        </w:rPr>
        <w:t xml:space="preserve"> oder erhob</w:t>
      </w:r>
      <w:r w:rsidR="00DB0928" w:rsidRPr="008930D7">
        <w:rPr>
          <w:bCs/>
        </w:rPr>
        <w:t>en</w:t>
      </w:r>
      <w:r w:rsidR="00601AAA">
        <w:rPr>
          <w:bCs/>
        </w:rPr>
        <w:t xml:space="preserve"> und waren dies auch nicht in den letzten fünf (5) Jahren</w:t>
      </w:r>
      <w:r w:rsidRPr="008930D7">
        <w:rPr>
          <w:bCs/>
        </w:rPr>
        <w:t xml:space="preserve">. Die Gesellschaft verletzt nach </w:t>
      </w:r>
      <w:proofErr w:type="spellStart"/>
      <w:r w:rsidRPr="008930D7">
        <w:rPr>
          <w:bCs/>
        </w:rPr>
        <w:t>Bestem</w:t>
      </w:r>
      <w:proofErr w:type="spellEnd"/>
      <w:r w:rsidRPr="008930D7">
        <w:rPr>
          <w:bCs/>
        </w:rPr>
        <w:t xml:space="preserve"> Wissen der Verkäufer keine </w:t>
      </w:r>
      <w:r w:rsidR="00601AAA">
        <w:rPr>
          <w:bCs/>
        </w:rPr>
        <w:t>G</w:t>
      </w:r>
      <w:r w:rsidRPr="008930D7">
        <w:rPr>
          <w:bCs/>
        </w:rPr>
        <w:t>ewerblichen Schutzrechte Dritter, weder durch ihren Geschäftsbetrieb noch durch den Gebrauch der Gewerblichen Schutzrechte</w:t>
      </w:r>
      <w:r w:rsidR="00601AAA" w:rsidRPr="00601AAA">
        <w:rPr>
          <w:bCs/>
        </w:rPr>
        <w:t xml:space="preserve">, und hat dies nach </w:t>
      </w:r>
      <w:proofErr w:type="spellStart"/>
      <w:r w:rsidR="00601AAA" w:rsidRPr="00601AAA">
        <w:rPr>
          <w:bCs/>
        </w:rPr>
        <w:t>Bestem</w:t>
      </w:r>
      <w:proofErr w:type="spellEnd"/>
      <w:r w:rsidR="00601AAA" w:rsidRPr="00601AAA">
        <w:rPr>
          <w:bCs/>
        </w:rPr>
        <w:t xml:space="preserve"> Wissen der Verkäufer auch in den letzten fünf Jahren nicht getan. Nach </w:t>
      </w:r>
      <w:proofErr w:type="spellStart"/>
      <w:r w:rsidR="00601AAA" w:rsidRPr="00601AAA">
        <w:rPr>
          <w:bCs/>
        </w:rPr>
        <w:t>Bestem</w:t>
      </w:r>
      <w:proofErr w:type="spellEnd"/>
      <w:r w:rsidR="00601AAA" w:rsidRPr="00601AAA">
        <w:rPr>
          <w:bCs/>
        </w:rPr>
        <w:t xml:space="preserve"> Wissen der Verkäufer verletzt kein Dritter die Gewerblichen Schutzrechte der Gesellschaft und hat dies auch in den letzten fünf Jahren nicht getan</w:t>
      </w:r>
      <w:r w:rsidRPr="008930D7">
        <w:rPr>
          <w:bCs/>
        </w:rPr>
        <w:t>.</w:t>
      </w:r>
    </w:p>
    <w:p w14:paraId="797BB65B" w14:textId="77777777" w:rsidR="008930D7" w:rsidRPr="008930D7" w:rsidRDefault="008930D7" w:rsidP="008D0E72">
      <w:pPr>
        <w:pStyle w:val="TWNummerierung2"/>
        <w:rPr>
          <w:bCs/>
        </w:rPr>
      </w:pPr>
      <w:r w:rsidRPr="008930D7">
        <w:rPr>
          <w:bCs/>
        </w:rPr>
        <w:t xml:space="preserve">Die Gesellschaft verfügt weder über Patente noch hat sie Patentlizenzvereinbarungen als Lizenzgeber oder Lizenznehmer abgeschlossen. Nach </w:t>
      </w:r>
      <w:proofErr w:type="spellStart"/>
      <w:r w:rsidRPr="008930D7">
        <w:rPr>
          <w:bCs/>
        </w:rPr>
        <w:t>Bestem</w:t>
      </w:r>
      <w:proofErr w:type="spellEnd"/>
      <w:r w:rsidRPr="008930D7">
        <w:rPr>
          <w:bCs/>
        </w:rPr>
        <w:t xml:space="preserve"> Wissen der Verkäufer besaß in der Vergangenheit und besitzt die Gesellschaft bzw. hält diese gültige Leasing- und/oder Lizenzverträge für die gesamte Computerhardware, Software und Netzwerke, die von der Gesellschaft genutzt werden und für deren laufenden Geschäftsbetrieb erforderlich sind.</w:t>
      </w:r>
    </w:p>
    <w:p w14:paraId="1A0FBC78" w14:textId="550B867B" w:rsidR="008930D7" w:rsidRPr="008930D7" w:rsidRDefault="008930D7" w:rsidP="008D0E72">
      <w:pPr>
        <w:pStyle w:val="TWNummerierung2"/>
        <w:rPr>
          <w:bCs/>
        </w:rPr>
      </w:pPr>
      <w:bookmarkStart w:id="8" w:name="_Ref136352315"/>
      <w:r w:rsidRPr="008930D7">
        <w:rPr>
          <w:bCs/>
        </w:rPr>
        <w:t>Die Hardware, Software und sonstige Informationstechnologie, die für den Geschäftsbetrieb der Gesellschaft erforderlich ist („</w:t>
      </w:r>
      <w:r w:rsidRPr="008930D7">
        <w:rPr>
          <w:b/>
          <w:bCs/>
        </w:rPr>
        <w:t>Informationstechnologie</w:t>
      </w:r>
      <w:r w:rsidRPr="008930D7">
        <w:rPr>
          <w:bCs/>
        </w:rPr>
        <w:t>“), um den Geschäftsbetrieb in der gleichen Art und Weise und im gleichen Umfang wie bisher fortzuführen, ist</w:t>
      </w:r>
      <w:bookmarkEnd w:id="8"/>
    </w:p>
    <w:p w14:paraId="68BE015C" w14:textId="4C6EA881" w:rsidR="008930D7" w:rsidRPr="008930D7" w:rsidRDefault="008930D7" w:rsidP="008D0E72">
      <w:pPr>
        <w:pStyle w:val="TWNummerierung3"/>
      </w:pPr>
      <w:r w:rsidRPr="008930D7">
        <w:t xml:space="preserve">vollständig – mit Ausnahme von Standard-Bürosoftware – in </w:t>
      </w:r>
      <w:r w:rsidR="004D1BBC">
        <w:rPr>
          <w:b/>
          <w:bCs/>
          <w:u w:val="single"/>
        </w:rPr>
        <w:t>Anhang</w:t>
      </w:r>
      <w:r w:rsidR="008D0E72" w:rsidRPr="008D0E72">
        <w:rPr>
          <w:b/>
          <w:bCs/>
          <w:u w:val="single"/>
        </w:rPr>
        <w:t xml:space="preserve"> </w:t>
      </w:r>
      <w:r w:rsidR="004D1BBC">
        <w:rPr>
          <w:b/>
          <w:bCs/>
          <w:u w:val="single"/>
        </w:rPr>
        <w:t>5</w:t>
      </w:r>
      <w:r w:rsidR="008D0E72" w:rsidRPr="008D0E72">
        <w:rPr>
          <w:b/>
          <w:bCs/>
          <w:u w:val="single"/>
        </w:rPr>
        <w:t>.5</w:t>
      </w:r>
      <w:r w:rsidRPr="008930D7">
        <w:t xml:space="preserve"> aufgeführt und</w:t>
      </w:r>
    </w:p>
    <w:p w14:paraId="5C472859" w14:textId="0478B7B6" w:rsidR="008930D7" w:rsidRPr="008930D7" w:rsidRDefault="008930D7" w:rsidP="008D0E72">
      <w:pPr>
        <w:pStyle w:val="TWNummerierung3"/>
      </w:pPr>
      <w:r w:rsidRPr="008930D7">
        <w:t xml:space="preserve">zum Unterzeichnungsstichtag und zum </w:t>
      </w:r>
      <w:r>
        <w:t>Vollzugsdatum</w:t>
      </w:r>
      <w:r w:rsidRPr="008930D7">
        <w:t xml:space="preserve"> entweder Eigentum der Gesellschaft, an diese lizenziert oder anderweitig rechtmäßig von ihr genutzt.</w:t>
      </w:r>
    </w:p>
    <w:p w14:paraId="30E3B6D3" w14:textId="735D6640" w:rsidR="008930D7" w:rsidRPr="008930D7" w:rsidRDefault="00601AAA" w:rsidP="008D0E72">
      <w:pPr>
        <w:pStyle w:val="TWNummerierung2"/>
        <w:rPr>
          <w:bCs/>
        </w:rPr>
      </w:pPr>
      <w:bookmarkStart w:id="9" w:name="_Hlk178253915"/>
      <w:r>
        <w:rPr>
          <w:bCs/>
        </w:rPr>
        <w:lastRenderedPageBreak/>
        <w:t xml:space="preserve">Nach </w:t>
      </w:r>
      <w:proofErr w:type="spellStart"/>
      <w:r>
        <w:rPr>
          <w:bCs/>
        </w:rPr>
        <w:t>Bestem</w:t>
      </w:r>
      <w:proofErr w:type="spellEnd"/>
      <w:r>
        <w:rPr>
          <w:bCs/>
        </w:rPr>
        <w:t xml:space="preserve"> Wissen der Verkäufer</w:t>
      </w:r>
      <w:r w:rsidRPr="008930D7">
        <w:rPr>
          <w:bCs/>
        </w:rPr>
        <w:t xml:space="preserve"> </w:t>
      </w:r>
      <w:r w:rsidR="008930D7" w:rsidRPr="008930D7">
        <w:rPr>
          <w:bCs/>
        </w:rPr>
        <w:t xml:space="preserve">ist </w:t>
      </w:r>
      <w:r>
        <w:rPr>
          <w:bCs/>
        </w:rPr>
        <w:t xml:space="preserve">es </w:t>
      </w:r>
      <w:r w:rsidR="008930D7" w:rsidRPr="008930D7">
        <w:rPr>
          <w:bCs/>
        </w:rPr>
        <w:t xml:space="preserve">in den letzten </w:t>
      </w:r>
      <w:r>
        <w:rPr>
          <w:bCs/>
        </w:rPr>
        <w:t>vierundzwanzig</w:t>
      </w:r>
      <w:r w:rsidRPr="008930D7">
        <w:rPr>
          <w:bCs/>
        </w:rPr>
        <w:t xml:space="preserve"> </w:t>
      </w:r>
      <w:r w:rsidR="008930D7" w:rsidRPr="008930D7">
        <w:rPr>
          <w:bCs/>
        </w:rPr>
        <w:t>(</w:t>
      </w:r>
      <w:r>
        <w:rPr>
          <w:bCs/>
        </w:rPr>
        <w:t>24</w:t>
      </w:r>
      <w:r w:rsidR="008930D7" w:rsidRPr="008930D7">
        <w:rPr>
          <w:bCs/>
        </w:rPr>
        <w:t>) Monaten vor dem Unterzeichnung</w:t>
      </w:r>
      <w:r w:rsidR="008D0E72">
        <w:rPr>
          <w:bCs/>
        </w:rPr>
        <w:t>s</w:t>
      </w:r>
      <w:r w:rsidR="008930D7" w:rsidRPr="008930D7">
        <w:rPr>
          <w:bCs/>
        </w:rPr>
        <w:t>s</w:t>
      </w:r>
      <w:r w:rsidR="008D0E72">
        <w:rPr>
          <w:bCs/>
        </w:rPr>
        <w:t>tich</w:t>
      </w:r>
      <w:r w:rsidR="008930D7" w:rsidRPr="008930D7">
        <w:rPr>
          <w:bCs/>
        </w:rPr>
        <w:t xml:space="preserve">tag weder zu Ausfällen der Informationstechnologie noch zu Datenverlusten gekommen, die jeweils </w:t>
      </w:r>
      <w:r>
        <w:rPr>
          <w:bCs/>
        </w:rPr>
        <w:t xml:space="preserve">wesentlich </w:t>
      </w:r>
      <w:r w:rsidR="008930D7" w:rsidRPr="008930D7">
        <w:rPr>
          <w:bCs/>
        </w:rPr>
        <w:t xml:space="preserve">nachteilige Auswirkungen auf den Geschäftsbetrieb der Gesellschaft hatten oder haben, noch hat die Informationstechnologie nach </w:t>
      </w:r>
      <w:proofErr w:type="spellStart"/>
      <w:r>
        <w:rPr>
          <w:bCs/>
        </w:rPr>
        <w:t>B</w:t>
      </w:r>
      <w:r w:rsidR="008930D7" w:rsidRPr="008930D7">
        <w:rPr>
          <w:bCs/>
        </w:rPr>
        <w:t>estem</w:t>
      </w:r>
      <w:proofErr w:type="spellEnd"/>
      <w:r w:rsidR="008930D7" w:rsidRPr="008930D7">
        <w:rPr>
          <w:bCs/>
        </w:rPr>
        <w:t xml:space="preserve"> Wissen der Verkäufer wesentliche Mängel in den letzten </w:t>
      </w:r>
      <w:r>
        <w:rPr>
          <w:bCs/>
        </w:rPr>
        <w:t>vierundzwanzig</w:t>
      </w:r>
      <w:r w:rsidRPr="008930D7">
        <w:rPr>
          <w:bCs/>
        </w:rPr>
        <w:t xml:space="preserve"> </w:t>
      </w:r>
      <w:r w:rsidR="008930D7" w:rsidRPr="008930D7">
        <w:rPr>
          <w:bCs/>
        </w:rPr>
        <w:t>(</w:t>
      </w:r>
      <w:r>
        <w:rPr>
          <w:bCs/>
        </w:rPr>
        <w:t>24</w:t>
      </w:r>
      <w:r w:rsidR="008930D7" w:rsidRPr="008930D7">
        <w:rPr>
          <w:bCs/>
        </w:rPr>
        <w:t>) Monaten aufgezeigt, die eine solche nachteilige Auswirkung möglich erscheinen lassen</w:t>
      </w:r>
      <w:r>
        <w:rPr>
          <w:bCs/>
        </w:rPr>
        <w:t xml:space="preserve"> und die nicht beseitigt wurden</w:t>
      </w:r>
      <w:r w:rsidR="008930D7" w:rsidRPr="008930D7">
        <w:rPr>
          <w:bCs/>
        </w:rPr>
        <w:t xml:space="preserve">. Die Gesellschaft hat hinreichende branchenübliche Maßnahmen ergriffen, um unautorisierte Zugriffe auf die Informationstechnologie und/oder auf Daten der Gesellschaft oder Beeinträchtigungen der Informationstechnologie oder von Daten einer Gesellschaft durch Computerviren oder ähnliche Programme zu verhindern. </w:t>
      </w:r>
    </w:p>
    <w:bookmarkEnd w:id="9"/>
    <w:p w14:paraId="2AE983FC" w14:textId="487EB391" w:rsidR="008930D7" w:rsidRPr="008930D7" w:rsidRDefault="008930D7" w:rsidP="008D0E72">
      <w:pPr>
        <w:pStyle w:val="TWNummerierung2"/>
        <w:rPr>
          <w:bCs/>
        </w:rPr>
      </w:pPr>
      <w:r w:rsidRPr="008930D7">
        <w:rPr>
          <w:bCs/>
        </w:rPr>
        <w:t>Die Gesellschaft verfügt uneingeschränkt über alle Nutzungs- und Verwertungsrechte an der von der Gesellschaft selbst oder für die Gesellschaft von Dritten entwickelten, eigenen Software („</w:t>
      </w:r>
      <w:r w:rsidRPr="008930D7">
        <w:rPr>
          <w:b/>
          <w:bCs/>
        </w:rPr>
        <w:t>Eigene Software</w:t>
      </w:r>
      <w:r w:rsidRPr="008930D7">
        <w:rPr>
          <w:bCs/>
        </w:rPr>
        <w:t xml:space="preserve">“). Die Gesellschaft verfügt </w:t>
      </w:r>
      <w:r w:rsidR="00601AAA">
        <w:rPr>
          <w:bCs/>
        </w:rPr>
        <w:t xml:space="preserve">im Hinblick auf die Eigene Software </w:t>
      </w:r>
      <w:r w:rsidRPr="008930D7">
        <w:rPr>
          <w:bCs/>
        </w:rPr>
        <w:t>insbesondere über sämtliche ausschließlichen, zeitlich, räumlich und inhaltlich unbeschränkten, unterlizenzierbaren und übertragbaren Nutzungsrechte sowohl im Binär- als auch im Quellcode im Hinblick auf sämtliche bekannte oder unbekannte Nutzungsarten, hier insbesondere über die Rechte zur dauerhaften und vorübergehenden Vervielfältigung, Verbreitung, drahtgebundenen oder drahtlosen Wiedergabe, öffentlichen Zugänglichmachung, Sendung und Weitersendung, einschließlich der Rechte zur Bearbeitung, Übersetzung und anderweitigen proprietären Weiterentwicklung sowie zur vollumfänglichen wirtschaftlichen Verwertung. Die Gesellschaft ist unbeschränkt befugt, über diese Rechte zu verfügen. An Eigener Software bestehen insofern insbesondere keine Rechte Dritter, welche die Gesellschaft in ihrem Geschäftsbetrieb einschränken würden.</w:t>
      </w:r>
    </w:p>
    <w:p w14:paraId="5B793163" w14:textId="23337A0A" w:rsidR="008930D7" w:rsidRPr="008930D7" w:rsidRDefault="008930D7" w:rsidP="008D0E72">
      <w:pPr>
        <w:pStyle w:val="TWNummerierung2"/>
      </w:pPr>
      <w:bookmarkStart w:id="10" w:name="_Ref136352421"/>
      <w:r>
        <w:t xml:space="preserve">Soweit nicht in </w:t>
      </w:r>
      <w:r w:rsidR="004D1BBC" w:rsidRPr="6179BC8C">
        <w:rPr>
          <w:b/>
          <w:bCs/>
          <w:u w:val="single"/>
        </w:rPr>
        <w:t>Anhang</w:t>
      </w:r>
      <w:r w:rsidR="008D0E72" w:rsidRPr="6179BC8C">
        <w:rPr>
          <w:b/>
          <w:bCs/>
          <w:u w:val="single"/>
        </w:rPr>
        <w:t xml:space="preserve"> </w:t>
      </w:r>
      <w:r w:rsidR="004D1BBC" w:rsidRPr="6179BC8C">
        <w:rPr>
          <w:b/>
          <w:bCs/>
          <w:u w:val="single"/>
        </w:rPr>
        <w:t>5</w:t>
      </w:r>
      <w:r w:rsidR="008D0E72" w:rsidRPr="6179BC8C">
        <w:rPr>
          <w:b/>
          <w:bCs/>
          <w:u w:val="single"/>
        </w:rPr>
        <w:t>.8</w:t>
      </w:r>
      <w:r w:rsidRPr="6179BC8C">
        <w:rPr>
          <w:b/>
          <w:bCs/>
        </w:rPr>
        <w:t xml:space="preserve"> </w:t>
      </w:r>
      <w:r>
        <w:t xml:space="preserve">ausdrücklich aufgeführt, enthält nach </w:t>
      </w:r>
      <w:proofErr w:type="spellStart"/>
      <w:r>
        <w:t>Bestem</w:t>
      </w:r>
      <w:proofErr w:type="spellEnd"/>
      <w:r>
        <w:t xml:space="preserve"> Wissen der Verkäufer die Eigene Software keine Open Source Software und keine Open Source Komponenten im Sinne der Open Source Initiative, insbesondere keine solche, die zu einem so genannten „</w:t>
      </w:r>
      <w:r w:rsidRPr="6179BC8C">
        <w:rPr>
          <w:i/>
          <w:iCs/>
        </w:rPr>
        <w:t>Copyleft-Effekt</w:t>
      </w:r>
      <w:r>
        <w:t xml:space="preserve">“ führen oder führen könnten. Nach </w:t>
      </w:r>
      <w:proofErr w:type="spellStart"/>
      <w:r>
        <w:t>Bestem</w:t>
      </w:r>
      <w:proofErr w:type="spellEnd"/>
      <w:r>
        <w:t xml:space="preserve"> Wissen der Verkäufer wurden von der Gesellschaft sämtliche in der Eigenen Software enthaltenen Drittkomponenten ordnungsgemäß lizenziert, alle Lizenzgebühren vollständig bezahlt und sämtliche Lizenzbedingungen eingehalten.</w:t>
      </w:r>
      <w:bookmarkEnd w:id="10"/>
      <w:r w:rsidR="00DF1C69">
        <w:rPr>
          <w:rStyle w:val="FootnoteReference"/>
        </w:rPr>
        <w:footnoteReference w:id="1"/>
      </w:r>
    </w:p>
    <w:p w14:paraId="2E87C709" w14:textId="56AB1F84" w:rsidR="00086ED5" w:rsidRDefault="00705682" w:rsidP="6179BC8C">
      <w:pPr>
        <w:pStyle w:val="TWNummerierung2"/>
      </w:pPr>
      <w:bookmarkStart w:id="11" w:name="_Ref136352521"/>
      <w:r>
        <w:t>Soweit Eigene Software Open Source Software und/oder Open Source Komponenten enthält oder verwendet hält d</w:t>
      </w:r>
      <w:r w:rsidR="008930D7">
        <w:t xml:space="preserve">ie Gesellschaft im Rahmen ihres Geschäftsbetriebs alle Pflichten ein, die sich aus den </w:t>
      </w:r>
      <w:r>
        <w:t xml:space="preserve">hierauf jeweils </w:t>
      </w:r>
      <w:r w:rsidR="008930D7">
        <w:t xml:space="preserve">anwendbaren Lizenzbedingungen ergeben. Aus der </w:t>
      </w:r>
      <w:r w:rsidR="008930D7">
        <w:lastRenderedPageBreak/>
        <w:t>Verwendung der Open Source Software ergeben sich keine nachteiligen Folgen oder Verpflichtungen für die Gesellschaft</w:t>
      </w:r>
      <w:r w:rsidR="67903493">
        <w:t xml:space="preserve">, </w:t>
      </w:r>
      <w:r>
        <w:t>insbesondere</w:t>
      </w:r>
      <w:r w:rsidR="67903493">
        <w:t xml:space="preserve"> ergeben sich aus der Verwendung der in </w:t>
      </w:r>
      <w:r w:rsidR="67903493" w:rsidRPr="003B484A">
        <w:rPr>
          <w:u w:val="single"/>
        </w:rPr>
        <w:t>Anhang 5.8</w:t>
      </w:r>
      <w:r w:rsidR="67903493">
        <w:t xml:space="preserve"> gelisteten Open Source Software keine </w:t>
      </w:r>
      <w:r>
        <w:t>Verpflichtungen</w:t>
      </w:r>
      <w:r w:rsidR="67903493">
        <w:t>, die zu einem so genannten „</w:t>
      </w:r>
      <w:r w:rsidR="67903493" w:rsidRPr="6179BC8C">
        <w:rPr>
          <w:i/>
          <w:iCs/>
        </w:rPr>
        <w:t>Copyleft-Effekt</w:t>
      </w:r>
      <w:r w:rsidR="67903493">
        <w:t>“ führen oder führen könnten</w:t>
      </w:r>
      <w:r w:rsidR="008930D7">
        <w:t xml:space="preserve">. </w:t>
      </w:r>
      <w:r w:rsidR="00CD59AC">
        <w:t>Die</w:t>
      </w:r>
      <w:r w:rsidR="008930D7">
        <w:t xml:space="preserve"> Gesellschaft </w:t>
      </w:r>
      <w:r w:rsidR="00CD59AC">
        <w:t xml:space="preserve">ist </w:t>
      </w:r>
      <w:r w:rsidR="008930D7">
        <w:t>nicht verpflichtet, Eigene Software, abgeleitete oder zusammen mit der Open Source Software vertriebene Softwareprogramme (i) in Quellcode-Form zugänglich zu machen oder (ii) lizenzgebührenfrei zu lizenzieren oder (iii) Dritten hieran Rechte einzuräumen.</w:t>
      </w:r>
      <w:bookmarkEnd w:id="11"/>
      <w:r w:rsidR="00CD59AC">
        <w:t xml:space="preserve"> Klarstellend halten die Parteien fest, dass sich aus dieser Ziffer 5.9 keine Einschränkungen oder einschränkende Interpretation der Garantieaussage gemäß </w:t>
      </w:r>
      <w:r w:rsidR="00CD59AC" w:rsidRPr="003B484A">
        <w:rPr>
          <w:u w:val="single"/>
        </w:rPr>
        <w:t>Ziffer 5.8</w:t>
      </w:r>
      <w:r w:rsidR="00CD59AC">
        <w:t xml:space="preserve"> ergeben oder ergeben sollen.</w:t>
      </w:r>
    </w:p>
    <w:p w14:paraId="060FD51A" w14:textId="6778EBCA" w:rsidR="00DF1C69" w:rsidRPr="00DF1C69" w:rsidRDefault="008930D7" w:rsidP="00DF1C69">
      <w:pPr>
        <w:pStyle w:val="TWNummerierung2"/>
        <w:rPr>
          <w:bCs/>
        </w:rPr>
      </w:pPr>
      <w:bookmarkStart w:id="12" w:name="_Ref193277891"/>
      <w:r w:rsidRPr="008930D7">
        <w:rPr>
          <w:bCs/>
        </w:rPr>
        <w:t xml:space="preserve">Die Gesellschaft verstößt </w:t>
      </w:r>
      <w:r w:rsidR="00601AAA">
        <w:rPr>
          <w:bCs/>
        </w:rPr>
        <w:t xml:space="preserve">nach </w:t>
      </w:r>
      <w:proofErr w:type="spellStart"/>
      <w:r w:rsidR="00601AAA">
        <w:rPr>
          <w:bCs/>
        </w:rPr>
        <w:t>Bestem</w:t>
      </w:r>
      <w:proofErr w:type="spellEnd"/>
      <w:r w:rsidR="00601AAA">
        <w:rPr>
          <w:bCs/>
        </w:rPr>
        <w:t xml:space="preserve"> Wissen der Verkäufer </w:t>
      </w:r>
      <w:r w:rsidRPr="008930D7">
        <w:rPr>
          <w:bCs/>
        </w:rPr>
        <w:t xml:space="preserve">weder gegen anwendbares </w:t>
      </w:r>
      <w:proofErr w:type="gramStart"/>
      <w:r w:rsidRPr="008930D7">
        <w:rPr>
          <w:bCs/>
        </w:rPr>
        <w:t>Datenschutzrecht,</w:t>
      </w:r>
      <w:proofErr w:type="gramEnd"/>
      <w:r w:rsidRPr="008930D7">
        <w:rPr>
          <w:bCs/>
        </w:rPr>
        <w:t xml:space="preserve"> noch gegen anderweitige Datenschutzbestimmungen und hat in der </w:t>
      </w:r>
      <w:r w:rsidR="00601AAA">
        <w:rPr>
          <w:bCs/>
        </w:rPr>
        <w:t>den letzten fünf (5) Jahren</w:t>
      </w:r>
      <w:r w:rsidR="00601AAA" w:rsidRPr="008930D7">
        <w:rPr>
          <w:bCs/>
        </w:rPr>
        <w:t xml:space="preserve"> </w:t>
      </w:r>
      <w:r w:rsidRPr="008930D7">
        <w:rPr>
          <w:bCs/>
        </w:rPr>
        <w:t>auch nicht gegen zum jeweiligen Zeitpunkt anwendbares Datenschutzrecht oder anderweitige datenschutzrechtliche Bestimmungen verstoßen. Darüber hinaus beachtet die Gesellschaft in ihrem Geschäftsbetrieb auch vollständig alle anwendbaren Vorschriften zur IT-Sicherheit sowie die Vorgaben der Datenschutzgrundverordnung und des Bundesdatenschutzgesetzes. Die Gesellschaft hat insbesondere keine personenbezogenen Daten zum Zwecke der Datenbereitstellung an Dritte anonymisiert oder pseudonymisiert und keine personenbezogenen Daten für Analysezwecke verwendet.</w:t>
      </w:r>
      <w:r w:rsidR="00DF1C69" w:rsidRPr="00DF1C69">
        <w:rPr>
          <w:rFonts w:asciiTheme="minorHAnsi" w:hAnsiTheme="minorHAnsi"/>
          <w:sz w:val="20"/>
          <w:szCs w:val="20"/>
        </w:rPr>
        <w:t xml:space="preserve"> </w:t>
      </w:r>
      <w:r w:rsidR="00DF1C69" w:rsidRPr="00DF1C69">
        <w:rPr>
          <w:bCs/>
        </w:rPr>
        <w:t xml:space="preserve">Innerhalb der letzten fünf (5) Jahre wurde der Gesellschaft nicht schriftlich mitgeteilt, dass der Geschäftsbetrieb der Gesellschaft nicht in Übereinstimmung mit vorstehenden Bestimmungen geführt wird, </w:t>
      </w:r>
      <w:r w:rsidR="00DF1C69" w:rsidRPr="00E84DFA">
        <w:rPr>
          <w:bCs/>
        </w:rPr>
        <w:t>insbesondere gab es keine schriftlichen Abmahnungen von Verbrauchern oder Verbraucherschutzverbänden.</w:t>
      </w:r>
      <w:r w:rsidR="00DF1C69" w:rsidRPr="00E84DFA">
        <w:rPr>
          <w:bCs/>
          <w:vertAlign w:val="superscript"/>
        </w:rPr>
        <w:footnoteReference w:id="2"/>
      </w:r>
      <w:bookmarkEnd w:id="12"/>
      <w:r w:rsidR="00DF1C69" w:rsidRPr="00DF1C69">
        <w:rPr>
          <w:bCs/>
        </w:rPr>
        <w:t xml:space="preserve"> </w:t>
      </w:r>
    </w:p>
    <w:p w14:paraId="0F1A41C4" w14:textId="77777777" w:rsidR="008930D7" w:rsidRPr="008930D7" w:rsidRDefault="008930D7" w:rsidP="00086ED5">
      <w:pPr>
        <w:pStyle w:val="TWNummerierung1"/>
      </w:pPr>
      <w:r w:rsidRPr="008930D7">
        <w:t>Erlaubnisse, Zertifikate, Einhaltung von Gesetzen, keine Subventionen</w:t>
      </w:r>
    </w:p>
    <w:p w14:paraId="7D59B465" w14:textId="126116D7" w:rsidR="008930D7" w:rsidRPr="008930D7" w:rsidRDefault="008930D7" w:rsidP="00086ED5">
      <w:pPr>
        <w:pStyle w:val="TWNummerierung2"/>
      </w:pPr>
      <w:r w:rsidRPr="008930D7">
        <w:t>Die Gesellschaft besitzt alle behördlichen Genehmigungen und Bewilligungen („</w:t>
      </w:r>
      <w:r w:rsidRPr="008930D7">
        <w:rPr>
          <w:b/>
        </w:rPr>
        <w:t>Erlaubnisse</w:t>
      </w:r>
      <w:r w:rsidRPr="008930D7">
        <w:t xml:space="preserve">“), die von wesentlicher Bedeutung für den Geschäftsbetrieb und erforderlich sind, um die Geschäftstätigkeit der Gesellschaft in vergleichbarer Art und Weise wie bisher fortzuführen. Nach </w:t>
      </w:r>
      <w:proofErr w:type="spellStart"/>
      <w:r w:rsidRPr="008930D7">
        <w:t>Bestem</w:t>
      </w:r>
      <w:proofErr w:type="spellEnd"/>
      <w:r w:rsidRPr="008930D7">
        <w:t xml:space="preserve"> Wissen der Verkäufer wurde der Gesellschaft nicht schriftlich mitgeteilt, dass der Geschäftsbetrieb nicht im Einklang mit etwaigen Auflagen der Erlaubnisse geführt wird oder ein Entzug, Widerruf, oder eine Einschränkung der Erlaubnisse droht</w:t>
      </w:r>
      <w:r w:rsidR="00DF1C69">
        <w:t xml:space="preserve">, </w:t>
      </w:r>
      <w:r w:rsidR="00DF1C69" w:rsidRPr="00DF1C69">
        <w:t xml:space="preserve">und es liegen nach </w:t>
      </w:r>
      <w:proofErr w:type="spellStart"/>
      <w:r w:rsidR="00DF1C69" w:rsidRPr="00DF1C69">
        <w:t>Bestem</w:t>
      </w:r>
      <w:proofErr w:type="spellEnd"/>
      <w:r w:rsidR="00DF1C69" w:rsidRPr="00DF1C69">
        <w:t xml:space="preserve"> Wissen der Verkäufer auch keine Anhaltspunkte dafür vor, dass eine solche Mitteilung erfolgen wird</w:t>
      </w:r>
      <w:r w:rsidRPr="008930D7">
        <w:t>.</w:t>
      </w:r>
    </w:p>
    <w:p w14:paraId="756A8FBB" w14:textId="2CF991D8" w:rsidR="008930D7" w:rsidRPr="008930D7" w:rsidRDefault="008930D7" w:rsidP="00432C0E">
      <w:pPr>
        <w:pStyle w:val="TWNummerierung2"/>
        <w:rPr>
          <w:bCs/>
        </w:rPr>
      </w:pPr>
      <w:bookmarkStart w:id="13" w:name="_Ref193277878"/>
      <w:r w:rsidRPr="008930D7">
        <w:lastRenderedPageBreak/>
        <w:t>Innerhalb</w:t>
      </w:r>
      <w:r w:rsidRPr="008930D7">
        <w:rPr>
          <w:bCs/>
        </w:rPr>
        <w:t xml:space="preserve"> der letzten fünf (5) Jahre wurde der Gesellschaft nicht schriftlich mitgeteilt, dass der Geschäftsbetrieb der Gesellschaft nicht in Übereinstimmung mit allen anwendbaren wesentlichen Gesetzen, Verordnungen und sonstigen Rechtsvorschriften geführt wird. Nach </w:t>
      </w:r>
      <w:proofErr w:type="spellStart"/>
      <w:r w:rsidRPr="008930D7">
        <w:rPr>
          <w:bCs/>
        </w:rPr>
        <w:t>Bestem</w:t>
      </w:r>
      <w:proofErr w:type="spellEnd"/>
      <w:r w:rsidRPr="008930D7">
        <w:rPr>
          <w:bCs/>
        </w:rPr>
        <w:t xml:space="preserve"> Wissen der Verkäufer wird der Geschäftsbetrieb der Gesellschaft auch derzeit in Übereinstimmung mit allen anwendbaren wesentlichen Gesetzen, Verordnungen und sonstigen Rechtsvorschriften sowie Auflagen der Erlaubnisse geführt. Seitens der Behörden wurden in dem genannten Zeitraum insbesondere auch keine Stilllegungen von Betrieben oder Betriebsteilen angeordnet oder schriftlich angedroht oder zusätzliche Auflagen oder Bedingungen im Zusammenhang mit dem Geschäftsbetrieb oder zur Erhaltung der Erlaubnisse schriftlich verlangt oder angeregt.</w:t>
      </w:r>
      <w:r w:rsidR="00DF1C69">
        <w:rPr>
          <w:bCs/>
        </w:rPr>
        <w:t xml:space="preserve"> </w:t>
      </w:r>
      <w:r w:rsidR="00DF1C69" w:rsidRPr="00DF1C69">
        <w:rPr>
          <w:bCs/>
        </w:rPr>
        <w:t xml:space="preserve">Diese Ziffer </w:t>
      </w:r>
      <w:r w:rsidR="00322B2C">
        <w:rPr>
          <w:bCs/>
        </w:rPr>
        <w:t>6.2</w:t>
      </w:r>
      <w:r w:rsidR="00DF1C69" w:rsidRPr="00DF1C69">
        <w:rPr>
          <w:bCs/>
        </w:rPr>
        <w:t xml:space="preserve"> bezieht sich nicht auf datenschutzrechtliche Vorschriften, für die Ziffer </w:t>
      </w:r>
      <w:r w:rsidR="00322B2C">
        <w:rPr>
          <w:bCs/>
        </w:rPr>
        <w:t>5.10</w:t>
      </w:r>
      <w:r w:rsidR="00DF1C69" w:rsidRPr="00DF1C69">
        <w:rPr>
          <w:bCs/>
        </w:rPr>
        <w:t xml:space="preserve"> Sonderregelungen enthält.</w:t>
      </w:r>
      <w:bookmarkEnd w:id="13"/>
    </w:p>
    <w:p w14:paraId="141901AE" w14:textId="1FF2F6E3" w:rsidR="008930D7" w:rsidRPr="008930D7" w:rsidRDefault="008930D7" w:rsidP="00432C0E">
      <w:pPr>
        <w:pStyle w:val="TWNummerierung2"/>
        <w:rPr>
          <w:bCs/>
        </w:rPr>
      </w:pPr>
      <w:bookmarkStart w:id="14" w:name="_Ref136352694"/>
      <w:r w:rsidRPr="008930D7">
        <w:t>Die</w:t>
      </w:r>
      <w:r w:rsidRPr="008930D7">
        <w:rPr>
          <w:bCs/>
        </w:rPr>
        <w:t xml:space="preserve"> Gesellschaft ist ferner im Besitz aller von einschlägigen Zertifizierungsstellen vergebenen </w:t>
      </w:r>
      <w:r w:rsidR="00DF1C69" w:rsidRPr="00DF1C69">
        <w:rPr>
          <w:bCs/>
        </w:rPr>
        <w:t>oder im Geschäftsbetrieb notwendige</w:t>
      </w:r>
      <w:r w:rsidR="00DF1C69">
        <w:rPr>
          <w:bCs/>
        </w:rPr>
        <w:t>n</w:t>
      </w:r>
      <w:r w:rsidR="00DF1C69" w:rsidRPr="00DF1C69">
        <w:rPr>
          <w:bCs/>
        </w:rPr>
        <w:t xml:space="preserve"> oder beworbene</w:t>
      </w:r>
      <w:r w:rsidR="00DF1C69">
        <w:rPr>
          <w:bCs/>
        </w:rPr>
        <w:t>n</w:t>
      </w:r>
      <w:r w:rsidR="00DF1C69" w:rsidRPr="00DF1C69">
        <w:rPr>
          <w:bCs/>
        </w:rPr>
        <w:t xml:space="preserve"> </w:t>
      </w:r>
      <w:r w:rsidRPr="008930D7">
        <w:rPr>
          <w:bCs/>
        </w:rPr>
        <w:t xml:space="preserve">Zertifikate wie in </w:t>
      </w:r>
      <w:r w:rsidR="004D1BBC">
        <w:rPr>
          <w:b/>
          <w:bCs/>
          <w:u w:val="single"/>
        </w:rPr>
        <w:t>Anhang</w:t>
      </w:r>
      <w:r w:rsidR="00432C0E" w:rsidRPr="00432C0E">
        <w:rPr>
          <w:b/>
          <w:bCs/>
          <w:u w:val="single"/>
        </w:rPr>
        <w:t xml:space="preserve"> </w:t>
      </w:r>
      <w:r w:rsidR="004D1BBC">
        <w:rPr>
          <w:b/>
          <w:bCs/>
          <w:u w:val="single"/>
        </w:rPr>
        <w:t>6</w:t>
      </w:r>
      <w:r w:rsidR="00432C0E" w:rsidRPr="00432C0E">
        <w:rPr>
          <w:b/>
          <w:bCs/>
          <w:u w:val="single"/>
        </w:rPr>
        <w:t>.3</w:t>
      </w:r>
      <w:r w:rsidRPr="008930D7">
        <w:rPr>
          <w:bCs/>
        </w:rPr>
        <w:t xml:space="preserve"> aufgeführt („</w:t>
      </w:r>
      <w:r w:rsidRPr="008930D7">
        <w:rPr>
          <w:b/>
          <w:bCs/>
        </w:rPr>
        <w:t>Zertifikate</w:t>
      </w:r>
      <w:r w:rsidRPr="008930D7">
        <w:rPr>
          <w:bCs/>
        </w:rPr>
        <w:t xml:space="preserve">“). Die Zertifikate sind allesamt gültig und haben eine Gültigkeitsdauer wie in </w:t>
      </w:r>
      <w:r w:rsidR="004D1BBC">
        <w:rPr>
          <w:bCs/>
          <w:u w:val="single"/>
        </w:rPr>
        <w:t>Anhang</w:t>
      </w:r>
      <w:r w:rsidRPr="008930D7">
        <w:rPr>
          <w:bCs/>
          <w:u w:val="single"/>
        </w:rPr>
        <w:t xml:space="preserve"> </w:t>
      </w:r>
      <w:r w:rsidR="004D1BBC">
        <w:rPr>
          <w:bCs/>
          <w:u w:val="single"/>
        </w:rPr>
        <w:t>6</w:t>
      </w:r>
      <w:r w:rsidR="00432C0E" w:rsidRPr="00432C0E">
        <w:rPr>
          <w:bCs/>
          <w:u w:val="single"/>
        </w:rPr>
        <w:t>.3</w:t>
      </w:r>
      <w:r w:rsidRPr="008930D7">
        <w:rPr>
          <w:bCs/>
        </w:rPr>
        <w:t xml:space="preserve"> ausgewiesen und wurden weder widerrufen noch sonst zurückgenommen und es droht nach </w:t>
      </w:r>
      <w:proofErr w:type="spellStart"/>
      <w:r w:rsidRPr="008930D7">
        <w:rPr>
          <w:bCs/>
        </w:rPr>
        <w:t>Bestem</w:t>
      </w:r>
      <w:proofErr w:type="spellEnd"/>
      <w:r w:rsidRPr="008930D7">
        <w:rPr>
          <w:bCs/>
        </w:rPr>
        <w:t xml:space="preserve"> Wissen der Verkäufer auch weder ein Widerruf noch eine Rücknahme.</w:t>
      </w:r>
      <w:bookmarkEnd w:id="14"/>
    </w:p>
    <w:p w14:paraId="1E6236B9" w14:textId="47295034" w:rsidR="008930D7" w:rsidRPr="008930D7" w:rsidRDefault="008930D7" w:rsidP="00432C0E">
      <w:pPr>
        <w:pStyle w:val="TWNummerierung2"/>
        <w:rPr>
          <w:bCs/>
        </w:rPr>
      </w:pPr>
      <w:bookmarkStart w:id="15" w:name="_Ref136353451"/>
      <w:r w:rsidRPr="008930D7">
        <w:rPr>
          <w:bCs/>
        </w:rPr>
        <w:t xml:space="preserve">Die Gesellschaft unterliegt, soweit nicht in </w:t>
      </w:r>
      <w:r w:rsidR="004D1BBC">
        <w:rPr>
          <w:b/>
          <w:bCs/>
          <w:u w:val="single"/>
        </w:rPr>
        <w:t>Anhang</w:t>
      </w:r>
      <w:r w:rsidR="00432C0E" w:rsidRPr="00432C0E">
        <w:rPr>
          <w:b/>
          <w:bCs/>
          <w:u w:val="single"/>
        </w:rPr>
        <w:t xml:space="preserve"> </w:t>
      </w:r>
      <w:r w:rsidR="004D1BBC">
        <w:rPr>
          <w:b/>
          <w:bCs/>
          <w:u w:val="single"/>
        </w:rPr>
        <w:t>6</w:t>
      </w:r>
      <w:r w:rsidR="00432C0E" w:rsidRPr="00432C0E">
        <w:rPr>
          <w:b/>
          <w:bCs/>
          <w:u w:val="single"/>
        </w:rPr>
        <w:t>.4</w:t>
      </w:r>
      <w:r w:rsidRPr="008930D7">
        <w:rPr>
          <w:bCs/>
        </w:rPr>
        <w:t xml:space="preserve"> offengelegt, keinem Wettbewerbsverbot, welches das Recht der Gesellschaft ausschließt oder beschränkt, sich in bestimmten Sparten oder Branchen ihres Unternehmens, sachlich oder geographisch, zu betätigen, und die Gesellschaft und ihre Organe und Mitarbeiter haben auch sonst keinerlei den Wettbewerb beschränkende Abreden mit Dritten getroffen oder praktiziert.</w:t>
      </w:r>
      <w:bookmarkEnd w:id="15"/>
    </w:p>
    <w:p w14:paraId="38DA07C3" w14:textId="32362C42" w:rsidR="008930D7" w:rsidRPr="008930D7" w:rsidRDefault="008930D7" w:rsidP="00432C0E">
      <w:pPr>
        <w:pStyle w:val="TWNummerierung2"/>
        <w:rPr>
          <w:bCs/>
        </w:rPr>
      </w:pPr>
      <w:r w:rsidRPr="008930D7">
        <w:rPr>
          <w:bCs/>
        </w:rPr>
        <w:t xml:space="preserve">Weder die </w:t>
      </w:r>
      <w:proofErr w:type="gramStart"/>
      <w:r w:rsidRPr="008930D7">
        <w:rPr>
          <w:bCs/>
        </w:rPr>
        <w:t>Gesellschaft,</w:t>
      </w:r>
      <w:proofErr w:type="gramEnd"/>
      <w:r w:rsidRPr="008930D7">
        <w:rPr>
          <w:bCs/>
        </w:rPr>
        <w:t xml:space="preserve"> noch ihre Organmitglieder, Mitarbeiter oder Vertreter haben nach </w:t>
      </w:r>
      <w:proofErr w:type="spellStart"/>
      <w:r w:rsidRPr="008930D7">
        <w:rPr>
          <w:bCs/>
        </w:rPr>
        <w:t>Bestem</w:t>
      </w:r>
      <w:proofErr w:type="spellEnd"/>
      <w:r w:rsidRPr="008930D7">
        <w:rPr>
          <w:bCs/>
        </w:rPr>
        <w:t xml:space="preserve"> Wissen der Verkäufer in Zusammenhang mit der Geschäftstätigkeit der Gesellschaft </w:t>
      </w:r>
      <w:r w:rsidR="00297F8C">
        <w:rPr>
          <w:bCs/>
        </w:rPr>
        <w:t xml:space="preserve">der letzten fünf (5) Jahre </w:t>
      </w:r>
      <w:r w:rsidRPr="008930D7">
        <w:rPr>
          <w:bCs/>
        </w:rPr>
        <w:t>einen rechtswidrigen Vorteil gewährt, versprochen oder in Aussicht gestellt erhalten.</w:t>
      </w:r>
    </w:p>
    <w:p w14:paraId="1F68924B" w14:textId="00F36ADE" w:rsidR="008930D7" w:rsidRPr="008930D7" w:rsidRDefault="008930D7" w:rsidP="00432C0E">
      <w:pPr>
        <w:pStyle w:val="TWNummerierung2"/>
        <w:rPr>
          <w:bCs/>
        </w:rPr>
      </w:pPr>
      <w:bookmarkStart w:id="16" w:name="_Ref136353542"/>
      <w:r w:rsidRPr="008930D7">
        <w:rPr>
          <w:bCs/>
        </w:rPr>
        <w:t xml:space="preserve">Mit Ausnahme der in </w:t>
      </w:r>
      <w:r w:rsidR="004D1BBC">
        <w:rPr>
          <w:b/>
          <w:bCs/>
          <w:u w:val="single"/>
        </w:rPr>
        <w:t>Anhang</w:t>
      </w:r>
      <w:r w:rsidR="00432C0E" w:rsidRPr="00432C0E">
        <w:rPr>
          <w:b/>
          <w:bCs/>
          <w:u w:val="single"/>
        </w:rPr>
        <w:t xml:space="preserve"> </w:t>
      </w:r>
      <w:r w:rsidR="004D1BBC">
        <w:rPr>
          <w:b/>
          <w:bCs/>
          <w:u w:val="single"/>
        </w:rPr>
        <w:t>6</w:t>
      </w:r>
      <w:r w:rsidR="00432C0E" w:rsidRPr="00432C0E">
        <w:rPr>
          <w:b/>
          <w:bCs/>
          <w:u w:val="single"/>
        </w:rPr>
        <w:t>.6</w:t>
      </w:r>
      <w:r w:rsidRPr="008930D7">
        <w:rPr>
          <w:bCs/>
        </w:rPr>
        <w:t xml:space="preserve"> aufgeführten, hat die Gesellschaft keinerlei Subventionen, Beihilfen, Zuwendungen, Zuschüsse oder sonstige Fördermittel erhalten. Soweit dies nicht aus </w:t>
      </w:r>
      <w:r w:rsidR="004D1BBC">
        <w:rPr>
          <w:bCs/>
          <w:u w:val="single"/>
        </w:rPr>
        <w:t>Anhang</w:t>
      </w:r>
      <w:r w:rsidRPr="008930D7">
        <w:rPr>
          <w:bCs/>
          <w:u w:val="single"/>
        </w:rPr>
        <w:t xml:space="preserve"> </w:t>
      </w:r>
      <w:r w:rsidR="004D1BBC">
        <w:rPr>
          <w:bCs/>
          <w:u w:val="single"/>
        </w:rPr>
        <w:t>6</w:t>
      </w:r>
      <w:r w:rsidR="004418BD" w:rsidRPr="004418BD">
        <w:rPr>
          <w:bCs/>
          <w:u w:val="single"/>
        </w:rPr>
        <w:t>.6</w:t>
      </w:r>
      <w:r w:rsidRPr="008930D7">
        <w:rPr>
          <w:bCs/>
        </w:rPr>
        <w:t xml:space="preserve"> ersichtlich ist, wurde nach </w:t>
      </w:r>
      <w:proofErr w:type="spellStart"/>
      <w:r w:rsidRPr="008930D7">
        <w:rPr>
          <w:bCs/>
        </w:rPr>
        <w:t>Bestem</w:t>
      </w:r>
      <w:proofErr w:type="spellEnd"/>
      <w:r w:rsidRPr="008930D7">
        <w:rPr>
          <w:bCs/>
        </w:rPr>
        <w:t xml:space="preserve"> Wissen der Verkäufer gegenüber der Gesellschaft keine Rückforderung eines in </w:t>
      </w:r>
      <w:r w:rsidR="004D1BBC">
        <w:rPr>
          <w:bCs/>
          <w:u w:val="single"/>
        </w:rPr>
        <w:t>Anhang</w:t>
      </w:r>
      <w:r w:rsidR="004418BD" w:rsidRPr="008930D7">
        <w:rPr>
          <w:bCs/>
          <w:u w:val="single"/>
        </w:rPr>
        <w:t xml:space="preserve"> </w:t>
      </w:r>
      <w:r w:rsidR="004D1BBC">
        <w:rPr>
          <w:bCs/>
          <w:u w:val="single"/>
        </w:rPr>
        <w:t>6</w:t>
      </w:r>
      <w:r w:rsidR="004418BD" w:rsidRPr="004418BD">
        <w:rPr>
          <w:bCs/>
          <w:u w:val="single"/>
        </w:rPr>
        <w:t>.6</w:t>
      </w:r>
      <w:r w:rsidRPr="008930D7">
        <w:rPr>
          <w:bCs/>
        </w:rPr>
        <w:t xml:space="preserve"> genannten Zuschusses angedroht</w:t>
      </w:r>
      <w:bookmarkEnd w:id="16"/>
      <w:r w:rsidR="00297F8C">
        <w:rPr>
          <w:bCs/>
        </w:rPr>
        <w:t xml:space="preserve"> </w:t>
      </w:r>
      <w:r w:rsidR="00297F8C" w:rsidRPr="00297F8C">
        <w:rPr>
          <w:bCs/>
        </w:rPr>
        <w:t xml:space="preserve">und nach </w:t>
      </w:r>
      <w:proofErr w:type="spellStart"/>
      <w:r w:rsidR="00297F8C" w:rsidRPr="00297F8C">
        <w:rPr>
          <w:bCs/>
        </w:rPr>
        <w:t>Bestem</w:t>
      </w:r>
      <w:proofErr w:type="spellEnd"/>
      <w:r w:rsidR="00297F8C" w:rsidRPr="00297F8C">
        <w:rPr>
          <w:bCs/>
        </w:rPr>
        <w:t xml:space="preserve"> Wissen der Verkäufer liegen keine Umstände vor, die eine Rückforderung erhaltene</w:t>
      </w:r>
      <w:r w:rsidR="00297F8C">
        <w:rPr>
          <w:bCs/>
        </w:rPr>
        <w:t>r</w:t>
      </w:r>
      <w:r w:rsidR="00297F8C" w:rsidRPr="00297F8C">
        <w:rPr>
          <w:bCs/>
        </w:rPr>
        <w:t xml:space="preserve"> Mittel rechtfertigen</w:t>
      </w:r>
      <w:r w:rsidRPr="008930D7">
        <w:rPr>
          <w:bCs/>
        </w:rPr>
        <w:t>.</w:t>
      </w:r>
    </w:p>
    <w:p w14:paraId="09C1018B" w14:textId="77777777" w:rsidR="008930D7" w:rsidRPr="008930D7" w:rsidRDefault="008930D7" w:rsidP="004418BD">
      <w:pPr>
        <w:pStyle w:val="TWNummerierung1"/>
      </w:pPr>
      <w:r w:rsidRPr="008930D7">
        <w:lastRenderedPageBreak/>
        <w:t>Mitarbeiter</w:t>
      </w:r>
    </w:p>
    <w:p w14:paraId="4C64F11C" w14:textId="1E7C738E" w:rsidR="008930D7" w:rsidRPr="008930D7" w:rsidRDefault="004D1BBC" w:rsidP="004418BD">
      <w:pPr>
        <w:pStyle w:val="TWNummerierung2"/>
      </w:pPr>
      <w:bookmarkStart w:id="17" w:name="_Ref136353667"/>
      <w:r>
        <w:rPr>
          <w:b/>
          <w:u w:val="single"/>
        </w:rPr>
        <w:t>Anhang</w:t>
      </w:r>
      <w:r w:rsidR="004418BD" w:rsidRPr="004418BD">
        <w:rPr>
          <w:b/>
          <w:u w:val="single"/>
        </w:rPr>
        <w:t xml:space="preserve"> </w:t>
      </w:r>
      <w:r>
        <w:rPr>
          <w:b/>
          <w:u w:val="single"/>
        </w:rPr>
        <w:t>7</w:t>
      </w:r>
      <w:r w:rsidR="004418BD" w:rsidRPr="004418BD">
        <w:rPr>
          <w:b/>
          <w:u w:val="single"/>
        </w:rPr>
        <w:t>.1</w:t>
      </w:r>
      <w:r w:rsidR="008930D7" w:rsidRPr="008930D7">
        <w:t xml:space="preserve"> enthält eine korrekte und vollständige Liste der Geschäftsführer und Handlungsbevollmächtigten und Prokuristen der Gesellschaft.</w:t>
      </w:r>
      <w:bookmarkEnd w:id="17"/>
    </w:p>
    <w:p w14:paraId="5782A12D" w14:textId="5F29B0A5" w:rsidR="008930D7" w:rsidRPr="008930D7" w:rsidRDefault="004D1BBC" w:rsidP="00A07823">
      <w:pPr>
        <w:pStyle w:val="TWNummerierung2"/>
        <w:rPr>
          <w:bCs/>
        </w:rPr>
      </w:pPr>
      <w:bookmarkStart w:id="18" w:name="_Ref136354098"/>
      <w:bookmarkStart w:id="19" w:name="_Ref136353737"/>
      <w:r>
        <w:rPr>
          <w:b/>
          <w:bCs/>
          <w:u w:val="single"/>
        </w:rPr>
        <w:t>Anhang</w:t>
      </w:r>
      <w:r w:rsidR="00A07823" w:rsidRPr="00A07823">
        <w:rPr>
          <w:b/>
          <w:bCs/>
          <w:u w:val="single"/>
        </w:rPr>
        <w:t xml:space="preserve"> </w:t>
      </w:r>
      <w:r>
        <w:rPr>
          <w:b/>
          <w:bCs/>
          <w:u w:val="single"/>
        </w:rPr>
        <w:t>7</w:t>
      </w:r>
      <w:r w:rsidR="00A07823" w:rsidRPr="00A07823">
        <w:rPr>
          <w:b/>
          <w:bCs/>
          <w:u w:val="single"/>
        </w:rPr>
        <w:t>.2</w:t>
      </w:r>
      <w:r w:rsidR="00A07823">
        <w:rPr>
          <w:b/>
          <w:bCs/>
        </w:rPr>
        <w:t xml:space="preserve"> </w:t>
      </w:r>
      <w:r w:rsidR="008930D7" w:rsidRPr="008930D7">
        <w:rPr>
          <w:bCs/>
        </w:rPr>
        <w:t>enthält eine Liste aller Mitarbeiter (Stand: [</w:t>
      </w:r>
      <w:r w:rsidR="008930D7" w:rsidRPr="008930D7">
        <w:rPr>
          <w:bCs/>
          <w:highlight w:val="yellow"/>
        </w:rPr>
        <w:t xml:space="preserve">Datum vor </w:t>
      </w:r>
      <w:proofErr w:type="spellStart"/>
      <w:r w:rsidR="008930D7" w:rsidRPr="008930D7">
        <w:rPr>
          <w:bCs/>
          <w:highlight w:val="yellow"/>
        </w:rPr>
        <w:t>Signing</w:t>
      </w:r>
      <w:proofErr w:type="spellEnd"/>
      <w:r w:rsidR="008930D7" w:rsidRPr="008930D7">
        <w:rPr>
          <w:bCs/>
        </w:rPr>
        <w:t>]) und freien Mitarbeiter der Gesellschaft (einschließlich der Geschäftsführung) unter Nennung – soweit anwendbar – von Funktion, Eintrittstermin, Kündigungsfristen, festem und/oder variablem Gehalt, etwaige</w:t>
      </w:r>
      <w:r w:rsidR="00A07823">
        <w:rPr>
          <w:bCs/>
        </w:rPr>
        <w:t>r</w:t>
      </w:r>
      <w:r w:rsidR="008930D7" w:rsidRPr="008930D7">
        <w:rPr>
          <w:bCs/>
        </w:rPr>
        <w:t xml:space="preserve"> Bonusansprüche, Beteiligungsrechte, Pensionsberechtigungen, </w:t>
      </w:r>
      <w:r w:rsidR="00297F8C" w:rsidRPr="00297F8C">
        <w:rPr>
          <w:bCs/>
        </w:rPr>
        <w:t xml:space="preserve">Gratifikationen (Urlaubs- und Weihnachtsgeld), Urlaubsansprüche (einschl. Resturlaub aus vorangegangenen Kalenderjahren), </w:t>
      </w:r>
      <w:r w:rsidR="008930D7" w:rsidRPr="008930D7">
        <w:rPr>
          <w:bCs/>
        </w:rPr>
        <w:t xml:space="preserve">Dauer und Höhe etwaiger Zulagen, Zusatz-, </w:t>
      </w:r>
      <w:r w:rsidR="00297F8C">
        <w:rPr>
          <w:bCs/>
        </w:rPr>
        <w:t xml:space="preserve">Entschädigungs- </w:t>
      </w:r>
      <w:r w:rsidR="008930D7" w:rsidRPr="008930D7">
        <w:rPr>
          <w:bCs/>
        </w:rPr>
        <w:t xml:space="preserve">Ergänzungs- oder Begleitvereinbarungen sowie Art und Umfang etwaiger Verzichte oder sonstiger Nebenvereinbarungen. </w:t>
      </w:r>
      <w:bookmarkEnd w:id="18"/>
    </w:p>
    <w:p w14:paraId="496E2BAA" w14:textId="291DD29A" w:rsidR="008930D7" w:rsidRPr="008930D7" w:rsidRDefault="008930D7" w:rsidP="00A07823">
      <w:pPr>
        <w:pStyle w:val="TWNummerierung2"/>
        <w:rPr>
          <w:bCs/>
        </w:rPr>
      </w:pPr>
      <w:bookmarkStart w:id="20" w:name="_Ref136353901"/>
      <w:bookmarkEnd w:id="19"/>
      <w:r w:rsidRPr="008930D7">
        <w:rPr>
          <w:bCs/>
        </w:rPr>
        <w:t xml:space="preserve">Bis auf die in </w:t>
      </w:r>
      <w:r w:rsidR="004D1BBC">
        <w:rPr>
          <w:b/>
          <w:bCs/>
          <w:u w:val="single"/>
        </w:rPr>
        <w:t>Anhang</w:t>
      </w:r>
      <w:r w:rsidR="00A07823" w:rsidRPr="00A07823">
        <w:rPr>
          <w:b/>
          <w:bCs/>
          <w:u w:val="single"/>
        </w:rPr>
        <w:t xml:space="preserve"> </w:t>
      </w:r>
      <w:r w:rsidR="004D1BBC">
        <w:rPr>
          <w:b/>
          <w:bCs/>
          <w:u w:val="single"/>
        </w:rPr>
        <w:t>7</w:t>
      </w:r>
      <w:r w:rsidR="00A07823" w:rsidRPr="00A07823">
        <w:rPr>
          <w:b/>
          <w:bCs/>
          <w:u w:val="single"/>
        </w:rPr>
        <w:t>.3</w:t>
      </w:r>
      <w:r w:rsidRPr="008930D7">
        <w:rPr>
          <w:bCs/>
        </w:rPr>
        <w:t xml:space="preserve"> aufgeführten Personen hat kein Geschäftsführer, Mitarbeiter oder Berater seinen Dienst-, Anstellungs- oder Beratervertrag schriftlich gekündigt oder beabsichtigt nach </w:t>
      </w:r>
      <w:proofErr w:type="spellStart"/>
      <w:r w:rsidRPr="008930D7">
        <w:rPr>
          <w:bCs/>
        </w:rPr>
        <w:t>Bestem</w:t>
      </w:r>
      <w:proofErr w:type="spellEnd"/>
      <w:r w:rsidRPr="008930D7">
        <w:rPr>
          <w:bCs/>
        </w:rPr>
        <w:t xml:space="preserve"> Wissen der Verkäufer</w:t>
      </w:r>
      <w:r w:rsidR="00297F8C">
        <w:rPr>
          <w:bCs/>
        </w:rPr>
        <w:t>, dies</w:t>
      </w:r>
      <w:r w:rsidRPr="008930D7">
        <w:rPr>
          <w:bCs/>
        </w:rPr>
        <w:t xml:space="preserve"> zu tun. Es liegen keine Umstände vor, die einem Geschäftsführer</w:t>
      </w:r>
      <w:r w:rsidR="00297F8C">
        <w:rPr>
          <w:bCs/>
        </w:rPr>
        <w:t xml:space="preserve"> oder</w:t>
      </w:r>
      <w:r w:rsidRPr="008930D7">
        <w:rPr>
          <w:bCs/>
        </w:rPr>
        <w:t xml:space="preserve"> Mitarbeiter ein Sonderrecht zur Kündigung oder Änderung seines Dienst-, </w:t>
      </w:r>
      <w:r w:rsidR="00297F8C">
        <w:rPr>
          <w:bCs/>
        </w:rPr>
        <w:t xml:space="preserve">oder </w:t>
      </w:r>
      <w:r w:rsidRPr="008930D7">
        <w:rPr>
          <w:bCs/>
        </w:rPr>
        <w:t>Anstellungsvertrages aufgrund der Durchführung dieser Transaktion geben würde.</w:t>
      </w:r>
      <w:bookmarkEnd w:id="20"/>
    </w:p>
    <w:p w14:paraId="228DFD50" w14:textId="6258F5DC" w:rsidR="008930D7" w:rsidRPr="008930D7" w:rsidRDefault="008930D7" w:rsidP="00A07823">
      <w:pPr>
        <w:pStyle w:val="TWNummerierung2"/>
        <w:rPr>
          <w:bCs/>
        </w:rPr>
      </w:pPr>
      <w:r w:rsidRPr="008930D7">
        <w:rPr>
          <w:bCs/>
        </w:rPr>
        <w:t>Kein Geschäftsführer</w:t>
      </w:r>
      <w:r w:rsidR="00297F8C">
        <w:rPr>
          <w:bCs/>
        </w:rPr>
        <w:t xml:space="preserve"> oder</w:t>
      </w:r>
      <w:r w:rsidRPr="008930D7">
        <w:rPr>
          <w:bCs/>
        </w:rPr>
        <w:t xml:space="preserve"> Mitarbeiter hat Anspruch auf Auszahlung von Boni oder anderen variablen Bezügen oder besitzt Rechte auf eine Beteiligung, Pension oder Entschädigung gegen die Gesellschaft, soweit nicht in </w:t>
      </w:r>
      <w:r w:rsidR="004D1BBC">
        <w:rPr>
          <w:bCs/>
          <w:u w:val="single"/>
        </w:rPr>
        <w:t>Anlage</w:t>
      </w:r>
      <w:r w:rsidRPr="008930D7">
        <w:rPr>
          <w:bCs/>
          <w:u w:val="single"/>
        </w:rPr>
        <w:t xml:space="preserve"> </w:t>
      </w:r>
      <w:r w:rsidR="004D1BBC">
        <w:rPr>
          <w:bCs/>
          <w:u w:val="single"/>
        </w:rPr>
        <w:t>10.1(d)</w:t>
      </w:r>
      <w:r w:rsidR="00A07823">
        <w:rPr>
          <w:bCs/>
        </w:rPr>
        <w:t>,</w:t>
      </w:r>
      <w:r w:rsidRPr="008930D7">
        <w:rPr>
          <w:bCs/>
        </w:rPr>
        <w:t xml:space="preserve"> </w:t>
      </w:r>
      <w:r w:rsidR="004D1BBC">
        <w:rPr>
          <w:bCs/>
          <w:u w:val="single"/>
        </w:rPr>
        <w:t>Anhang</w:t>
      </w:r>
      <w:r w:rsidRPr="008930D7">
        <w:rPr>
          <w:bCs/>
          <w:u w:val="single"/>
        </w:rPr>
        <w:t xml:space="preserve"> </w:t>
      </w:r>
      <w:r w:rsidR="004D1BBC">
        <w:rPr>
          <w:bCs/>
          <w:u w:val="single"/>
        </w:rPr>
        <w:t>7</w:t>
      </w:r>
      <w:r w:rsidR="00A07823" w:rsidRPr="00A07823">
        <w:rPr>
          <w:bCs/>
          <w:u w:val="single"/>
        </w:rPr>
        <w:t>.1</w:t>
      </w:r>
      <w:r w:rsidRPr="008930D7">
        <w:rPr>
          <w:bCs/>
        </w:rPr>
        <w:t xml:space="preserve"> oder </w:t>
      </w:r>
      <w:r w:rsidR="004D1BBC">
        <w:rPr>
          <w:bCs/>
          <w:u w:val="single"/>
        </w:rPr>
        <w:t>Anhang</w:t>
      </w:r>
      <w:r w:rsidRPr="008930D7">
        <w:rPr>
          <w:bCs/>
          <w:u w:val="single"/>
        </w:rPr>
        <w:t xml:space="preserve"> </w:t>
      </w:r>
      <w:r w:rsidR="004D1BBC">
        <w:rPr>
          <w:bCs/>
          <w:u w:val="single"/>
        </w:rPr>
        <w:t>7</w:t>
      </w:r>
      <w:r w:rsidR="00A07823" w:rsidRPr="00A07823">
        <w:rPr>
          <w:bCs/>
          <w:u w:val="single"/>
        </w:rPr>
        <w:t>.2</w:t>
      </w:r>
      <w:r w:rsidRPr="008930D7">
        <w:rPr>
          <w:bCs/>
        </w:rPr>
        <w:t xml:space="preserve"> aufgeführt.</w:t>
      </w:r>
    </w:p>
    <w:p w14:paraId="3C3BB6C3" w14:textId="3CFE9619" w:rsidR="008930D7" w:rsidRPr="008930D7" w:rsidRDefault="008930D7" w:rsidP="00A07823">
      <w:pPr>
        <w:pStyle w:val="TWNummerierung2"/>
        <w:rPr>
          <w:bCs/>
        </w:rPr>
      </w:pPr>
      <w:r w:rsidRPr="008930D7">
        <w:rPr>
          <w:bCs/>
        </w:rPr>
        <w:t xml:space="preserve">Sofern Mitarbeiter innerhalb der letzten drei (3) Jahre vor dem Unterzeichnungsstichtag in einzelnen oder mehreren Zeiträumen bis zum Unterzeichnungsstichtag in Kurzarbeit waren, wurde die Kurzarbeit ordnungsgemäß eingeführt, für den jeweiligen Zeitraum wurden die Leistungsanträge </w:t>
      </w:r>
      <w:r w:rsidR="00297F8C">
        <w:rPr>
          <w:bCs/>
        </w:rPr>
        <w:t xml:space="preserve">nach </w:t>
      </w:r>
      <w:proofErr w:type="spellStart"/>
      <w:r w:rsidR="00297F8C">
        <w:rPr>
          <w:bCs/>
        </w:rPr>
        <w:t>Bestem</w:t>
      </w:r>
      <w:proofErr w:type="spellEnd"/>
      <w:r w:rsidR="00297F8C">
        <w:rPr>
          <w:bCs/>
        </w:rPr>
        <w:t xml:space="preserve"> Wissen der Verkäufer </w:t>
      </w:r>
      <w:r w:rsidRPr="008930D7">
        <w:rPr>
          <w:bCs/>
        </w:rPr>
        <w:t>ordnungsgemäß und rechtzeitig gestellt und die Voraussetzungen für den Bezug von Kurzarbeitergeld (insbesondere die ordnungsgemäße und rechtzeitige Anzeige des Arbeitsausfalls bei der Agentur für Arbeit) lagen vor.</w:t>
      </w:r>
      <w:r w:rsidR="00297F8C">
        <w:rPr>
          <w:bCs/>
        </w:rPr>
        <w:t xml:space="preserve"> </w:t>
      </w:r>
      <w:r w:rsidR="00297F8C" w:rsidRPr="00297F8C">
        <w:rPr>
          <w:bCs/>
        </w:rPr>
        <w:t xml:space="preserve">Eine Rückforderung bezogener Kurzarbeitergelder wurde weder von der Behörde angekündigt, noch liegen nach </w:t>
      </w:r>
      <w:proofErr w:type="spellStart"/>
      <w:r w:rsidR="00297F8C" w:rsidRPr="00297F8C">
        <w:rPr>
          <w:bCs/>
        </w:rPr>
        <w:t>Bestem</w:t>
      </w:r>
      <w:proofErr w:type="spellEnd"/>
      <w:r w:rsidR="00297F8C" w:rsidRPr="00297F8C">
        <w:rPr>
          <w:bCs/>
        </w:rPr>
        <w:t xml:space="preserve"> Wissen der Verkäufer Anhaltspunkte dafür vor, dass eine solche Rückforderung erfolgen wird</w:t>
      </w:r>
    </w:p>
    <w:p w14:paraId="59DF225E" w14:textId="35184432" w:rsidR="008930D7" w:rsidRPr="008930D7" w:rsidRDefault="008930D7" w:rsidP="00A07823">
      <w:pPr>
        <w:pStyle w:val="TWNummerierung2"/>
        <w:rPr>
          <w:bCs/>
        </w:rPr>
      </w:pPr>
      <w:bookmarkStart w:id="21" w:name="_Ref136354445"/>
      <w:r w:rsidRPr="008930D7">
        <w:rPr>
          <w:bCs/>
        </w:rPr>
        <w:t xml:space="preserve">Soweit nicht in </w:t>
      </w:r>
      <w:r w:rsidR="004D1BBC">
        <w:rPr>
          <w:b/>
          <w:bCs/>
          <w:u w:val="single"/>
        </w:rPr>
        <w:t>Anhang</w:t>
      </w:r>
      <w:r w:rsidR="00A07823" w:rsidRPr="00A07823">
        <w:rPr>
          <w:b/>
          <w:bCs/>
          <w:u w:val="single"/>
        </w:rPr>
        <w:t xml:space="preserve"> </w:t>
      </w:r>
      <w:r w:rsidR="004D1BBC">
        <w:rPr>
          <w:b/>
          <w:bCs/>
          <w:u w:val="single"/>
        </w:rPr>
        <w:t>7</w:t>
      </w:r>
      <w:r w:rsidR="00A07823" w:rsidRPr="00A07823">
        <w:rPr>
          <w:b/>
          <w:bCs/>
          <w:u w:val="single"/>
        </w:rPr>
        <w:t>.6</w:t>
      </w:r>
      <w:r w:rsidRPr="008930D7">
        <w:rPr>
          <w:bCs/>
        </w:rPr>
        <w:t xml:space="preserve"> genannt, bestehen weder Betriebsvereinbarungen noch Tarifverträge, noch ist die Gesellschaft Mitglied eines Arbeitgeberverbands. In der Gesellschaft besteht auch kein Betriebsrat. Soweit nicht in </w:t>
      </w:r>
      <w:r w:rsidR="004D1BBC">
        <w:rPr>
          <w:bCs/>
          <w:u w:val="single"/>
        </w:rPr>
        <w:t>Anhang</w:t>
      </w:r>
      <w:r w:rsidRPr="008930D7">
        <w:rPr>
          <w:bCs/>
          <w:u w:val="single"/>
        </w:rPr>
        <w:t xml:space="preserve"> </w:t>
      </w:r>
      <w:r w:rsidR="004D1BBC">
        <w:rPr>
          <w:bCs/>
          <w:u w:val="single"/>
        </w:rPr>
        <w:t>7</w:t>
      </w:r>
      <w:r w:rsidR="00A07823" w:rsidRPr="00A07823">
        <w:rPr>
          <w:bCs/>
          <w:u w:val="single"/>
        </w:rPr>
        <w:t>.6</w:t>
      </w:r>
      <w:r w:rsidRPr="008930D7">
        <w:rPr>
          <w:bCs/>
        </w:rPr>
        <w:t xml:space="preserve"> genannt, besteht </w:t>
      </w:r>
      <w:r w:rsidR="00297F8C">
        <w:rPr>
          <w:bCs/>
        </w:rPr>
        <w:t xml:space="preserve">nach </w:t>
      </w:r>
      <w:proofErr w:type="spellStart"/>
      <w:r w:rsidR="00297F8C">
        <w:rPr>
          <w:bCs/>
        </w:rPr>
        <w:t>Bestem</w:t>
      </w:r>
      <w:proofErr w:type="spellEnd"/>
      <w:r w:rsidR="00297F8C">
        <w:rPr>
          <w:bCs/>
        </w:rPr>
        <w:t xml:space="preserve"> Wissen der Verkäufer </w:t>
      </w:r>
      <w:r w:rsidRPr="008930D7">
        <w:rPr>
          <w:bCs/>
        </w:rPr>
        <w:t xml:space="preserve">keine betriebliche Übung in der Gesellschaft. Die Gesellschaft </w:t>
      </w:r>
      <w:r w:rsidRPr="008930D7">
        <w:rPr>
          <w:bCs/>
        </w:rPr>
        <w:lastRenderedPageBreak/>
        <w:t xml:space="preserve">hält nach </w:t>
      </w:r>
      <w:proofErr w:type="spellStart"/>
      <w:r w:rsidRPr="008930D7">
        <w:rPr>
          <w:bCs/>
        </w:rPr>
        <w:t>Bestem</w:t>
      </w:r>
      <w:proofErr w:type="spellEnd"/>
      <w:r w:rsidRPr="008930D7">
        <w:rPr>
          <w:bCs/>
        </w:rPr>
        <w:t xml:space="preserve"> Wissen der Verkäufer alle sich für sie daraus ergebenden Verpflichtungen ein.</w:t>
      </w:r>
      <w:bookmarkEnd w:id="21"/>
    </w:p>
    <w:p w14:paraId="60364D95" w14:textId="39E53A97" w:rsidR="008930D7" w:rsidRPr="008930D7" w:rsidRDefault="008930D7" w:rsidP="00A07823">
      <w:pPr>
        <w:pStyle w:val="TWNummerierung2"/>
        <w:rPr>
          <w:bCs/>
        </w:rPr>
      </w:pPr>
      <w:r w:rsidRPr="008930D7">
        <w:rPr>
          <w:bCs/>
        </w:rPr>
        <w:t xml:space="preserve">Bei Abschluss dieses </w:t>
      </w:r>
      <w:r w:rsidR="00C662B8">
        <w:rPr>
          <w:bCs/>
        </w:rPr>
        <w:t>Vertrag</w:t>
      </w:r>
      <w:r w:rsidRPr="008930D7">
        <w:rPr>
          <w:bCs/>
        </w:rPr>
        <w:t>es ist die Gesellschaft weder von Streiks, Arbeitsniederlegungen oder Aussperrungen betroffen noch bestehen Streitigkeiten mit Gewerkschaften, Betriebsräten oder anderen Arbeitnehmervertretungen (einschließlich Einigungsstellenverfahren).</w:t>
      </w:r>
    </w:p>
    <w:p w14:paraId="1E4B3A60" w14:textId="77777777" w:rsidR="008930D7" w:rsidRPr="008930D7" w:rsidRDefault="008930D7" w:rsidP="00A07823">
      <w:pPr>
        <w:pStyle w:val="TWNummerierung2"/>
        <w:rPr>
          <w:bCs/>
        </w:rPr>
      </w:pPr>
      <w:r w:rsidRPr="008930D7">
        <w:rPr>
          <w:bCs/>
        </w:rPr>
        <w:t>Sämtliche Arbeitnehmer der Gesellschaft wurden und werden seit dessen Inkrafttreten in Einklang mit dem Mindestlohngesetz beschäftigt.</w:t>
      </w:r>
    </w:p>
    <w:p w14:paraId="470B4845" w14:textId="659A6CC1" w:rsidR="008930D7" w:rsidRPr="008930D7" w:rsidRDefault="008930D7" w:rsidP="00A07823">
      <w:pPr>
        <w:pStyle w:val="TWNummerierung2"/>
        <w:rPr>
          <w:bCs/>
        </w:rPr>
      </w:pPr>
      <w:r w:rsidRPr="008930D7">
        <w:rPr>
          <w:bCs/>
        </w:rPr>
        <w:t>Die Gesellschaft hat weder offen noch verdeckt Personen in Form einer Arbeitnehmerüberlassung an Dritte überlassen noch wurden von Dritten Personen in Form einer Arbeitnehmerüberlassung</w:t>
      </w:r>
      <w:r w:rsidR="00297F8C">
        <w:rPr>
          <w:bCs/>
        </w:rPr>
        <w:t xml:space="preserve"> von der Gesellschaft</w:t>
      </w:r>
      <w:r w:rsidRPr="008930D7">
        <w:rPr>
          <w:bCs/>
        </w:rPr>
        <w:t xml:space="preserve"> übernommen.</w:t>
      </w:r>
      <w:r w:rsidR="00297F8C">
        <w:rPr>
          <w:bCs/>
        </w:rPr>
        <w:t xml:space="preserve"> </w:t>
      </w:r>
      <w:r w:rsidR="00297F8C" w:rsidRPr="00297F8C">
        <w:rPr>
          <w:bCs/>
        </w:rPr>
        <w:t>Die Gesellschaft beschäftigt keine Scheinselbständigen und hat dies auch in den letzten fünf</w:t>
      </w:r>
      <w:r w:rsidR="0082759F">
        <w:rPr>
          <w:bCs/>
        </w:rPr>
        <w:t xml:space="preserve"> (5)</w:t>
      </w:r>
      <w:r w:rsidR="00297F8C" w:rsidRPr="00297F8C">
        <w:rPr>
          <w:bCs/>
        </w:rPr>
        <w:t xml:space="preserve"> Jahren nicht getan.</w:t>
      </w:r>
    </w:p>
    <w:p w14:paraId="16E05F47" w14:textId="77777777" w:rsidR="008930D7" w:rsidRPr="008930D7" w:rsidRDefault="008930D7" w:rsidP="00A07823">
      <w:pPr>
        <w:pStyle w:val="TWNummerierung1"/>
      </w:pPr>
      <w:r w:rsidRPr="008930D7">
        <w:t>Versicherungen</w:t>
      </w:r>
    </w:p>
    <w:p w14:paraId="38B3E2F6" w14:textId="3FACEEE5" w:rsidR="008930D7" w:rsidRPr="008930D7" w:rsidRDefault="004D1BBC" w:rsidP="00A07823">
      <w:pPr>
        <w:pStyle w:val="TWNummerierung2"/>
      </w:pPr>
      <w:bookmarkStart w:id="22" w:name="_Ref136354665"/>
      <w:bookmarkStart w:id="23" w:name="_Ref136354640"/>
      <w:r>
        <w:rPr>
          <w:b/>
          <w:u w:val="single"/>
        </w:rPr>
        <w:t>Anhang</w:t>
      </w:r>
      <w:r w:rsidR="00A07823" w:rsidRPr="00A07823">
        <w:rPr>
          <w:b/>
          <w:u w:val="single"/>
        </w:rPr>
        <w:t xml:space="preserve"> </w:t>
      </w:r>
      <w:r>
        <w:rPr>
          <w:b/>
          <w:u w:val="single"/>
        </w:rPr>
        <w:t>8</w:t>
      </w:r>
      <w:r w:rsidR="00A07823" w:rsidRPr="00A07823">
        <w:rPr>
          <w:b/>
          <w:u w:val="single"/>
        </w:rPr>
        <w:t>.1</w:t>
      </w:r>
      <w:r w:rsidR="008930D7" w:rsidRPr="008930D7">
        <w:t xml:space="preserve"> enthält eine Liste aller wesentlichen Versicherungsverträge in Bezug auf den Geschäftsbetrieb der Gesellschaft. </w:t>
      </w:r>
      <w:r w:rsidR="00297F8C" w:rsidRPr="00297F8C">
        <w:t xml:space="preserve">Die Versicherungsverträge sind nach </w:t>
      </w:r>
      <w:proofErr w:type="spellStart"/>
      <w:r w:rsidR="00297F8C" w:rsidRPr="00297F8C">
        <w:t>Bestem</w:t>
      </w:r>
      <w:proofErr w:type="spellEnd"/>
      <w:r w:rsidR="00297F8C" w:rsidRPr="00297F8C">
        <w:t xml:space="preserve"> Wissen der Verkäufer wirksam und begründen jeweils durchsetzbare Rechte.</w:t>
      </w:r>
      <w:r w:rsidR="00297F8C" w:rsidRPr="00297F8C" w:rsidDel="00297F8C">
        <w:t xml:space="preserve"> </w:t>
      </w:r>
      <w:r w:rsidR="008930D7" w:rsidRPr="008930D7">
        <w:t xml:space="preserve">Die Gesellschaft befindet sich mit keinen Prämienzahlungen in Rückstand, hat auch sonst alle Verpflichtungen und Obliegenheiten unter den Versicherungsverträgen erfüllt und es bestehen nach </w:t>
      </w:r>
      <w:proofErr w:type="spellStart"/>
      <w:r w:rsidR="008930D7" w:rsidRPr="008930D7">
        <w:t>Bestem</w:t>
      </w:r>
      <w:proofErr w:type="spellEnd"/>
      <w:r w:rsidR="008930D7" w:rsidRPr="008930D7">
        <w:t xml:space="preserve"> Wissen der Verkäufer auch sonst keine Umstände, die das Bestehen des Versicherungsschutzes gefährden.</w:t>
      </w:r>
      <w:bookmarkEnd w:id="22"/>
    </w:p>
    <w:p w14:paraId="6816CBBC" w14:textId="0093EEA7" w:rsidR="008930D7" w:rsidRPr="008930D7" w:rsidRDefault="004D1BBC" w:rsidP="00DB2EAA">
      <w:pPr>
        <w:pStyle w:val="TWNummerierung2"/>
        <w:rPr>
          <w:bCs/>
        </w:rPr>
      </w:pPr>
      <w:bookmarkStart w:id="24" w:name="_Ref136354688"/>
      <w:r>
        <w:rPr>
          <w:b/>
          <w:u w:val="single"/>
        </w:rPr>
        <w:t>Anhang</w:t>
      </w:r>
      <w:r w:rsidR="00DB2EAA" w:rsidRPr="00DB2EAA">
        <w:rPr>
          <w:b/>
          <w:bCs/>
          <w:u w:val="single"/>
        </w:rPr>
        <w:t xml:space="preserve"> </w:t>
      </w:r>
      <w:r>
        <w:rPr>
          <w:b/>
          <w:bCs/>
          <w:u w:val="single"/>
        </w:rPr>
        <w:t>8</w:t>
      </w:r>
      <w:r w:rsidR="00DB2EAA" w:rsidRPr="00DB2EAA">
        <w:rPr>
          <w:b/>
          <w:bCs/>
          <w:u w:val="single"/>
        </w:rPr>
        <w:t>.2</w:t>
      </w:r>
      <w:r w:rsidR="008930D7" w:rsidRPr="008930D7">
        <w:rPr>
          <w:bCs/>
        </w:rPr>
        <w:t xml:space="preserve"> enthält eine Aufstellung der in den letzten fünf (5) Jahren eingetretenen Versicherungsfälle. Sämtliche dieser Versicherungsfälle sind </w:t>
      </w:r>
      <w:r w:rsidR="00265B01">
        <w:rPr>
          <w:bCs/>
        </w:rPr>
        <w:t xml:space="preserve">nach </w:t>
      </w:r>
      <w:proofErr w:type="spellStart"/>
      <w:r w:rsidR="00265B01">
        <w:rPr>
          <w:bCs/>
        </w:rPr>
        <w:t>Bestem</w:t>
      </w:r>
      <w:proofErr w:type="spellEnd"/>
      <w:r w:rsidR="00265B01">
        <w:rPr>
          <w:bCs/>
        </w:rPr>
        <w:t xml:space="preserve"> Wissen der Verkäufer </w:t>
      </w:r>
      <w:r w:rsidR="008930D7" w:rsidRPr="008930D7">
        <w:rPr>
          <w:bCs/>
        </w:rPr>
        <w:t xml:space="preserve">erledigt, etwaige Schäden behoben und seitens des aktuellen oder früheren Versicherers vollständig ausgeglichen worden, soweit nicht in </w:t>
      </w:r>
      <w:r>
        <w:rPr>
          <w:bCs/>
          <w:u w:val="single"/>
        </w:rPr>
        <w:t>Anhang</w:t>
      </w:r>
      <w:r w:rsidR="008930D7" w:rsidRPr="008930D7">
        <w:rPr>
          <w:bCs/>
          <w:u w:val="single"/>
        </w:rPr>
        <w:t xml:space="preserve"> </w:t>
      </w:r>
      <w:r>
        <w:rPr>
          <w:bCs/>
          <w:u w:val="single"/>
        </w:rPr>
        <w:t>8</w:t>
      </w:r>
      <w:r w:rsidR="00DB2EAA" w:rsidRPr="00DB2EAA">
        <w:rPr>
          <w:bCs/>
          <w:u w:val="single"/>
        </w:rPr>
        <w:t>.2</w:t>
      </w:r>
      <w:r w:rsidR="008930D7" w:rsidRPr="008930D7">
        <w:rPr>
          <w:bCs/>
        </w:rPr>
        <w:t xml:space="preserve"> Abweichendes offengelegt ist.</w:t>
      </w:r>
      <w:bookmarkEnd w:id="23"/>
      <w:bookmarkEnd w:id="24"/>
    </w:p>
    <w:p w14:paraId="4D92D95E" w14:textId="77777777" w:rsidR="008930D7" w:rsidRPr="008930D7" w:rsidRDefault="008930D7" w:rsidP="00DB2EAA">
      <w:pPr>
        <w:pStyle w:val="TWNummerierung1"/>
        <w:rPr>
          <w:bCs/>
          <w:iCs/>
        </w:rPr>
      </w:pPr>
      <w:r w:rsidRPr="008930D7">
        <w:t>Rechtsstreitigkeiten</w:t>
      </w:r>
    </w:p>
    <w:p w14:paraId="15A9BE79" w14:textId="236DDA93" w:rsidR="008930D7" w:rsidRPr="008930D7" w:rsidRDefault="008930D7" w:rsidP="00DB2EAA">
      <w:pPr>
        <w:pStyle w:val="TWNummerierung2"/>
      </w:pPr>
      <w:bookmarkStart w:id="25" w:name="_Ref136354844"/>
      <w:r w:rsidRPr="008930D7">
        <w:t xml:space="preserve">Soweit nicht in </w:t>
      </w:r>
      <w:r w:rsidR="004D1BBC">
        <w:rPr>
          <w:b/>
          <w:u w:val="single"/>
        </w:rPr>
        <w:t>Anhang</w:t>
      </w:r>
      <w:r w:rsidR="00DB2EAA" w:rsidRPr="00DB2EAA">
        <w:rPr>
          <w:b/>
          <w:u w:val="single"/>
        </w:rPr>
        <w:t xml:space="preserve"> </w:t>
      </w:r>
      <w:r w:rsidR="004D1BBC">
        <w:rPr>
          <w:b/>
          <w:u w:val="single"/>
        </w:rPr>
        <w:t>9</w:t>
      </w:r>
      <w:r w:rsidR="00DB2EAA" w:rsidRPr="00DB2EAA">
        <w:rPr>
          <w:b/>
          <w:u w:val="single"/>
        </w:rPr>
        <w:t>.1</w:t>
      </w:r>
      <w:r w:rsidRPr="008930D7">
        <w:t xml:space="preserve"> genannt, sind keine gerichtlichen Streitigkeiten, Schiedsverfahren, behördliche Untersuchungen oder Verfahren vor einer Verwaltungsbehörde rechtshängig oder schriftlich oder in Textform gegenüber der Gesellschaft angedroht mit einem Streitwert im Einzelfall von mehr als EUR 5.000,00 (in Worten: fünftausend Euro) oder sonst mit einer entsprechenden wirtschaftlichen Auswirkung. Nach </w:t>
      </w:r>
      <w:proofErr w:type="spellStart"/>
      <w:r w:rsidRPr="008930D7">
        <w:t>Bestem</w:t>
      </w:r>
      <w:proofErr w:type="spellEnd"/>
      <w:r w:rsidRPr="008930D7">
        <w:t xml:space="preserve"> Wissen der Verkäufer drohen auch sonst keine solchen Rechtsstreitigkeiten, </w:t>
      </w:r>
      <w:r w:rsidRPr="008930D7">
        <w:lastRenderedPageBreak/>
        <w:t>Schiedsverfahren, behördliche Untersuchungen oder Verfahren vor einer Verwaltungsbehörde.</w:t>
      </w:r>
      <w:bookmarkEnd w:id="25"/>
    </w:p>
    <w:p w14:paraId="2BFCDAD6" w14:textId="07B3487C" w:rsidR="008930D7" w:rsidRPr="008930D7" w:rsidRDefault="008930D7" w:rsidP="00DB2EAA">
      <w:pPr>
        <w:pStyle w:val="TWNummerierung2"/>
        <w:rPr>
          <w:bCs/>
        </w:rPr>
      </w:pPr>
      <w:r w:rsidRPr="008930D7">
        <w:t>In</w:t>
      </w:r>
      <w:r w:rsidRPr="008930D7">
        <w:rPr>
          <w:bCs/>
        </w:rPr>
        <w:t xml:space="preserve"> den letzten fünf (5) Jahren wurden keine vertraglichen Ansprüche aus Gewährleistung oder Garantien bzw. Schlechtleistung gegen die Gesellschaft geltend gemacht, deren Gegenstandswert EUR 5.000,00 (in Worten: fünftausend Euro) überstieg.</w:t>
      </w:r>
    </w:p>
    <w:p w14:paraId="1E640408" w14:textId="77777777" w:rsidR="008930D7" w:rsidRPr="008930D7" w:rsidRDefault="008930D7" w:rsidP="00DB2EAA">
      <w:pPr>
        <w:pStyle w:val="TWNummerierung1"/>
      </w:pPr>
      <w:bookmarkStart w:id="26" w:name="_Ref136354961"/>
      <w:r w:rsidRPr="008930D7">
        <w:t>Normaler Geschäftsablauf</w:t>
      </w:r>
      <w:bookmarkEnd w:id="26"/>
    </w:p>
    <w:p w14:paraId="7DFB7AE6" w14:textId="3A86D170" w:rsidR="008930D7" w:rsidRPr="008930D7" w:rsidRDefault="008930D7" w:rsidP="00DB2EAA">
      <w:pPr>
        <w:pStyle w:val="TWTextebene12"/>
      </w:pPr>
      <w:r w:rsidRPr="008930D7">
        <w:t xml:space="preserve">Der Geschäftsbetrieb der Gesellschaft wurde </w:t>
      </w:r>
      <w:r w:rsidR="00DB2EAA" w:rsidRPr="008930D7">
        <w:t xml:space="preserve">während der letzten zwölf (12) Monate vor dem </w:t>
      </w:r>
      <w:r w:rsidR="00265B01">
        <w:t>Unterzeichnungs</w:t>
      </w:r>
      <w:r w:rsidR="00265B01" w:rsidRPr="008930D7">
        <w:t xml:space="preserve">stichtag </w:t>
      </w:r>
      <w:r w:rsidRPr="008930D7">
        <w:t xml:space="preserve">– vorbehaltlich der in </w:t>
      </w:r>
      <w:r w:rsidR="004D1BBC">
        <w:rPr>
          <w:b/>
          <w:bCs/>
          <w:u w:val="single"/>
        </w:rPr>
        <w:t>Anhang</w:t>
      </w:r>
      <w:r w:rsidR="00DB2EAA" w:rsidRPr="00DB2EAA">
        <w:rPr>
          <w:b/>
          <w:bCs/>
          <w:u w:val="single"/>
        </w:rPr>
        <w:t xml:space="preserve"> 1</w:t>
      </w:r>
      <w:r w:rsidR="004D1BBC">
        <w:rPr>
          <w:b/>
          <w:bCs/>
          <w:u w:val="single"/>
        </w:rPr>
        <w:t>0</w:t>
      </w:r>
      <w:r w:rsidRPr="008930D7">
        <w:t xml:space="preserve"> offengelegten Geschäftsvorfälle –im ordnungsgemäßen Geschäftsgang und in Übereinstimmung mit der vergangenen Praxis fortgeführt. </w:t>
      </w:r>
    </w:p>
    <w:p w14:paraId="33A6BB26" w14:textId="77777777" w:rsidR="008930D7" w:rsidRPr="008930D7" w:rsidRDefault="008930D7" w:rsidP="00DB2EAA">
      <w:pPr>
        <w:pStyle w:val="TWNummerierung1"/>
        <w:rPr>
          <w:bCs/>
          <w:iCs/>
        </w:rPr>
      </w:pPr>
      <w:bookmarkStart w:id="27" w:name="_Ref136355136"/>
      <w:r w:rsidRPr="008930D7">
        <w:rPr>
          <w:bCs/>
          <w:iCs/>
        </w:rPr>
        <w:t>Rechtsgeschäfte mit den Verkäufern oder Angehörigen</w:t>
      </w:r>
      <w:bookmarkEnd w:id="27"/>
    </w:p>
    <w:p w14:paraId="1E66625F" w14:textId="51477646" w:rsidR="008930D7" w:rsidRPr="008930D7" w:rsidRDefault="008930D7" w:rsidP="00DB2EAA">
      <w:pPr>
        <w:pStyle w:val="TWTextebene12"/>
      </w:pPr>
      <w:r w:rsidRPr="008930D7">
        <w:t xml:space="preserve">Soweit nicht in </w:t>
      </w:r>
      <w:r w:rsidR="004D1BBC">
        <w:rPr>
          <w:b/>
          <w:bCs/>
          <w:u w:val="single"/>
        </w:rPr>
        <w:t>Anhang</w:t>
      </w:r>
      <w:r w:rsidR="00DB2EAA" w:rsidRPr="00DB2EAA">
        <w:rPr>
          <w:b/>
          <w:bCs/>
          <w:u w:val="single"/>
        </w:rPr>
        <w:t xml:space="preserve"> 1</w:t>
      </w:r>
      <w:r w:rsidR="004D1BBC">
        <w:rPr>
          <w:b/>
          <w:bCs/>
          <w:u w:val="single"/>
        </w:rPr>
        <w:t>1</w:t>
      </w:r>
      <w:r w:rsidRPr="008930D7">
        <w:t xml:space="preserve"> oder in diesem </w:t>
      </w:r>
      <w:r w:rsidR="00C662B8">
        <w:t>Vertrag</w:t>
      </w:r>
      <w:r w:rsidRPr="008930D7">
        <w:t xml:space="preserve"> einschließlich </w:t>
      </w:r>
      <w:r w:rsidR="00DB2EAA">
        <w:t>seiner</w:t>
      </w:r>
      <w:r w:rsidRPr="008930D7">
        <w:t xml:space="preserve"> </w:t>
      </w:r>
      <w:r w:rsidR="004D1BBC">
        <w:t>An</w:t>
      </w:r>
      <w:r w:rsidR="0005624F">
        <w:t>lage</w:t>
      </w:r>
      <w:r w:rsidRPr="008930D7">
        <w:t>n</w:t>
      </w:r>
      <w:r w:rsidR="0005624F">
        <w:t xml:space="preserve"> und Anhänge</w:t>
      </w:r>
      <w:r w:rsidRPr="008930D7">
        <w:t xml:space="preserve"> an anderer Stelle </w:t>
      </w:r>
      <w:proofErr w:type="gramStart"/>
      <w:r w:rsidRPr="008930D7">
        <w:t>offen gelegt</w:t>
      </w:r>
      <w:proofErr w:type="gramEnd"/>
    </w:p>
    <w:p w14:paraId="58D88783" w14:textId="5F5524EB" w:rsidR="008930D7" w:rsidRPr="008930D7" w:rsidRDefault="008930D7" w:rsidP="00DB2EAA">
      <w:pPr>
        <w:pStyle w:val="TWNummerierung3"/>
      </w:pPr>
      <w:r w:rsidRPr="008930D7">
        <w:t xml:space="preserve">haben weder die Verkäufer noch deren </w:t>
      </w:r>
      <w:r w:rsidR="00265B01">
        <w:t>Nahestehende Personen</w:t>
      </w:r>
      <w:r w:rsidRPr="008930D7">
        <w:t xml:space="preserve"> mit der Gesellschaft Rechtsgeschäfte abgeschlossen oder Leistungen von diesen erhalten oder Anspruch hierauf und</w:t>
      </w:r>
    </w:p>
    <w:p w14:paraId="05D3A4DB" w14:textId="60764162" w:rsidR="008930D7" w:rsidRPr="008930D7" w:rsidRDefault="008930D7" w:rsidP="00DB2EAA">
      <w:pPr>
        <w:pStyle w:val="TWNummerierung3"/>
      </w:pPr>
      <w:r w:rsidRPr="008930D7">
        <w:t xml:space="preserve">gegenüber </w:t>
      </w:r>
      <w:r w:rsidR="00265B01">
        <w:t>den Verkäufern oder deren Nahestehenden Personen</w:t>
      </w:r>
      <w:r w:rsidR="00265B01" w:rsidRPr="008930D7">
        <w:t xml:space="preserve"> </w:t>
      </w:r>
      <w:r w:rsidRPr="008930D7">
        <w:t xml:space="preserve">bestehen nach den zum Unterzeichnungs- und zum </w:t>
      </w:r>
      <w:r>
        <w:t>Vollzugsdatum</w:t>
      </w:r>
      <w:r w:rsidRPr="008930D7">
        <w:t xml:space="preserve"> geltenden Vereinbarungen auch künftig keinerlei Verpflichtungen oder Ansprüche seitens der Gesellschaft.</w:t>
      </w:r>
    </w:p>
    <w:p w14:paraId="23680721" w14:textId="77777777" w:rsidR="008930D7" w:rsidRPr="008930D7" w:rsidRDefault="008930D7" w:rsidP="006E55B4">
      <w:pPr>
        <w:pStyle w:val="TWNummerierung1"/>
        <w:rPr>
          <w:bCs/>
          <w:iCs/>
        </w:rPr>
      </w:pPr>
      <w:r w:rsidRPr="008930D7">
        <w:rPr>
          <w:bCs/>
          <w:iCs/>
        </w:rPr>
        <w:t>Verträge mit Kunden</w:t>
      </w:r>
    </w:p>
    <w:p w14:paraId="68E63ED9" w14:textId="14C6292A" w:rsidR="008930D7" w:rsidRPr="008930D7" w:rsidRDefault="004D1BBC" w:rsidP="006E55B4">
      <w:pPr>
        <w:pStyle w:val="TWNummerierung2"/>
      </w:pPr>
      <w:bookmarkStart w:id="28" w:name="_Ref136355291"/>
      <w:r>
        <w:rPr>
          <w:b/>
          <w:u w:val="single"/>
        </w:rPr>
        <w:t>Anhang</w:t>
      </w:r>
      <w:r w:rsidR="006E55B4" w:rsidRPr="006E55B4">
        <w:rPr>
          <w:b/>
          <w:u w:val="single"/>
        </w:rPr>
        <w:t xml:space="preserve"> 1</w:t>
      </w:r>
      <w:r>
        <w:rPr>
          <w:b/>
          <w:u w:val="single"/>
        </w:rPr>
        <w:t>2</w:t>
      </w:r>
      <w:r w:rsidR="006E55B4" w:rsidRPr="006E55B4">
        <w:rPr>
          <w:b/>
          <w:u w:val="single"/>
        </w:rPr>
        <w:t>.1</w:t>
      </w:r>
      <w:r w:rsidR="008930D7" w:rsidRPr="008930D7">
        <w:t xml:space="preserve"> enthält eine vollständige und richtige Aufstellung der, gemessen an den Umsätzen für das letzte abgeschlossene Geschäftsjahr, </w:t>
      </w:r>
      <w:r w:rsidR="008930D7" w:rsidRPr="00B24ECF">
        <w:t xml:space="preserve">jeweils </w:t>
      </w:r>
      <w:r w:rsidR="006E55B4" w:rsidRPr="00B24ECF">
        <w:rPr>
          <w:rFonts w:cs="Arial"/>
        </w:rPr>
        <w:t>zehn (10)</w:t>
      </w:r>
      <w:r w:rsidR="006E55B4" w:rsidRPr="00B24ECF">
        <w:t xml:space="preserve"> </w:t>
      </w:r>
      <w:r w:rsidR="008930D7" w:rsidRPr="00B24ECF">
        <w:t>größten</w:t>
      </w:r>
      <w:r w:rsidR="008930D7" w:rsidRPr="008930D7">
        <w:t xml:space="preserve"> Kunden bzw. Auftraggeber</w:t>
      </w:r>
      <w:r w:rsidR="00265B01">
        <w:t>n</w:t>
      </w:r>
      <w:r w:rsidR="008930D7" w:rsidRPr="008930D7">
        <w:t xml:space="preserve"> („</w:t>
      </w:r>
      <w:r w:rsidR="008930D7" w:rsidRPr="008930D7">
        <w:rPr>
          <w:b/>
        </w:rPr>
        <w:t>Wesentliche Kunden</w:t>
      </w:r>
      <w:r w:rsidR="008930D7" w:rsidRPr="008930D7">
        <w:t>“) der Gesellschaft.</w:t>
      </w:r>
      <w:bookmarkEnd w:id="28"/>
    </w:p>
    <w:p w14:paraId="6405FE12" w14:textId="61746DB5" w:rsidR="008930D7" w:rsidRPr="008930D7" w:rsidRDefault="008930D7" w:rsidP="006E55B4">
      <w:pPr>
        <w:pStyle w:val="TWNummerierung2"/>
      </w:pPr>
      <w:r w:rsidRPr="008930D7">
        <w:t xml:space="preserve">Keine der Geschäftsbeziehungen insgesamt und bestehenden Verträge, deren Hauptleistungspflichten noch nicht vollständig erfüllt sind, im Einzelnen mit Wesentlichen Kunden sind gekündigt oder sonst beendet worden. Es bestehen nach </w:t>
      </w:r>
      <w:proofErr w:type="spellStart"/>
      <w:r w:rsidRPr="008930D7">
        <w:t>Bestem</w:t>
      </w:r>
      <w:proofErr w:type="spellEnd"/>
      <w:r w:rsidRPr="008930D7">
        <w:t xml:space="preserve"> Wissen der Verkäufer keine konkreten Anhaltspunkte dafür, dass einer der </w:t>
      </w:r>
      <w:proofErr w:type="spellStart"/>
      <w:r w:rsidR="00265B01">
        <w:t>Wesentlichen</w:t>
      </w:r>
      <w:proofErr w:type="spellEnd"/>
      <w:r w:rsidR="00265B01">
        <w:t xml:space="preserve"> Kunden</w:t>
      </w:r>
      <w:r w:rsidR="00265B01" w:rsidRPr="008930D7">
        <w:t xml:space="preserve"> </w:t>
      </w:r>
      <w:r w:rsidRPr="008930D7">
        <w:t xml:space="preserve">die Geschäftsbeziehung insgesamt oder gegebenenfalls einzelne bestehende Verträge kündigen, sonst beenden oder in </w:t>
      </w:r>
      <w:r w:rsidR="006E55B4">
        <w:t>ihrem</w:t>
      </w:r>
      <w:r w:rsidRPr="008930D7">
        <w:t xml:space="preserve"> Umfang wesentlich einschränken will.</w:t>
      </w:r>
    </w:p>
    <w:p w14:paraId="54F0E050" w14:textId="4AA1936B" w:rsidR="008930D7" w:rsidRPr="008930D7" w:rsidRDefault="008930D7" w:rsidP="006E55B4">
      <w:pPr>
        <w:pStyle w:val="TWNummerierung2"/>
        <w:rPr>
          <w:bCs/>
        </w:rPr>
      </w:pPr>
      <w:r w:rsidRPr="008930D7">
        <w:rPr>
          <w:bCs/>
        </w:rPr>
        <w:t xml:space="preserve">Nach </w:t>
      </w:r>
      <w:proofErr w:type="spellStart"/>
      <w:r w:rsidRPr="008930D7">
        <w:rPr>
          <w:bCs/>
        </w:rPr>
        <w:t>Bestem</w:t>
      </w:r>
      <w:proofErr w:type="spellEnd"/>
      <w:r w:rsidRPr="008930D7">
        <w:rPr>
          <w:bCs/>
        </w:rPr>
        <w:t xml:space="preserve"> Wissen der Verkäufer </w:t>
      </w:r>
      <w:r w:rsidR="00265B01" w:rsidRPr="00265B01">
        <w:rPr>
          <w:bCs/>
        </w:rPr>
        <w:t xml:space="preserve">sind die Verträge mit den Wesentlichen Kunden rechtswirksam und </w:t>
      </w:r>
      <w:r w:rsidRPr="008930D7">
        <w:rPr>
          <w:bCs/>
        </w:rPr>
        <w:t xml:space="preserve">die Gesellschaft </w:t>
      </w:r>
      <w:r w:rsidR="00265B01" w:rsidRPr="008930D7">
        <w:rPr>
          <w:bCs/>
        </w:rPr>
        <w:t xml:space="preserve">befindet sich </w:t>
      </w:r>
      <w:r w:rsidRPr="008930D7">
        <w:rPr>
          <w:bCs/>
        </w:rPr>
        <w:t xml:space="preserve">unter bestehenden Vertragsverhältnissen </w:t>
      </w:r>
      <w:r w:rsidRPr="008930D7">
        <w:rPr>
          <w:bCs/>
        </w:rPr>
        <w:lastRenderedPageBreak/>
        <w:t>mit den Wesentlichen Kunden mit keiner wesentlichen Pflicht in Verzug oder verletzt sonstige wesentliche Vertragspflichten.</w:t>
      </w:r>
    </w:p>
    <w:p w14:paraId="37DA4CDB" w14:textId="77777777" w:rsidR="008930D7" w:rsidRPr="008930D7" w:rsidRDefault="008930D7" w:rsidP="006E55B4">
      <w:pPr>
        <w:pStyle w:val="TWNummerierung2"/>
        <w:rPr>
          <w:bCs/>
        </w:rPr>
      </w:pPr>
      <w:r w:rsidRPr="008930D7">
        <w:rPr>
          <w:bCs/>
        </w:rPr>
        <w:t>Keiner der Wesentlichen Kunden ist mit einer fälligen Zahlung von mehr als EUR [</w:t>
      </w:r>
      <w:r w:rsidRPr="008930D7">
        <w:rPr>
          <w:bCs/>
          <w:highlight w:val="yellow"/>
        </w:rPr>
        <w:t>●</w:t>
      </w:r>
      <w:r w:rsidRPr="008930D7">
        <w:rPr>
          <w:bCs/>
        </w:rPr>
        <w:t>] mehr als drei (3) Monate im Verzug. Es wird klargestellt, dass hiervon nur Einzelforderungen von mehr als EUR [</w:t>
      </w:r>
      <w:r w:rsidRPr="008930D7">
        <w:rPr>
          <w:bCs/>
          <w:highlight w:val="yellow"/>
        </w:rPr>
        <w:t>●</w:t>
      </w:r>
      <w:r w:rsidRPr="008930D7">
        <w:rPr>
          <w:bCs/>
        </w:rPr>
        <w:t>] und nicht kumulierte Zahlungsbeträge aus einem oder unterschiedlichen Rechtsgründen gemeint sind.</w:t>
      </w:r>
    </w:p>
    <w:p w14:paraId="4CC347B2" w14:textId="77777777" w:rsidR="008930D7" w:rsidRPr="008930D7" w:rsidRDefault="008930D7" w:rsidP="006E55B4">
      <w:pPr>
        <w:pStyle w:val="TWNummerierung1"/>
      </w:pPr>
      <w:r w:rsidRPr="008930D7">
        <w:t>Sonstige wichtige Vereinbarungen</w:t>
      </w:r>
    </w:p>
    <w:p w14:paraId="7AA26535" w14:textId="16C9FDC6" w:rsidR="008930D7" w:rsidRPr="008930D7" w:rsidRDefault="004D1BBC" w:rsidP="006E55B4">
      <w:pPr>
        <w:pStyle w:val="TWNummerierung2"/>
      </w:pPr>
      <w:bookmarkStart w:id="29" w:name="_Ref136355519"/>
      <w:r>
        <w:rPr>
          <w:b/>
          <w:u w:val="single"/>
        </w:rPr>
        <w:t>Anhang</w:t>
      </w:r>
      <w:r w:rsidR="006E55B4" w:rsidRPr="006E55B4">
        <w:rPr>
          <w:b/>
          <w:u w:val="single"/>
        </w:rPr>
        <w:t xml:space="preserve"> 1</w:t>
      </w:r>
      <w:r>
        <w:rPr>
          <w:b/>
          <w:u w:val="single"/>
        </w:rPr>
        <w:t>3</w:t>
      </w:r>
      <w:r w:rsidR="006E55B4" w:rsidRPr="006E55B4">
        <w:rPr>
          <w:b/>
          <w:u w:val="single"/>
        </w:rPr>
        <w:t>.1</w:t>
      </w:r>
      <w:r w:rsidR="006E55B4">
        <w:rPr>
          <w:b/>
        </w:rPr>
        <w:t xml:space="preserve"> </w:t>
      </w:r>
      <w:r w:rsidR="008930D7" w:rsidRPr="008930D7">
        <w:t>enthält eine vollständige und korrekte Liste aller „</w:t>
      </w:r>
      <w:r w:rsidR="008930D7" w:rsidRPr="008930D7">
        <w:rPr>
          <w:b/>
        </w:rPr>
        <w:t>Sonstigen Wichtigen Vereinbarungen</w:t>
      </w:r>
      <w:r w:rsidR="008930D7" w:rsidRPr="008930D7">
        <w:t>“, bei denen die Gesellschaft Vertragspartei ist</w:t>
      </w:r>
      <w:r w:rsidR="00354C3A">
        <w:t xml:space="preserve"> (</w:t>
      </w:r>
      <w:r w:rsidR="008930D7" w:rsidRPr="008930D7">
        <w:t>jeweils ausgenommen Kundenverträge, Anstellungsverträge und Mietverträge</w:t>
      </w:r>
      <w:r w:rsidR="00354C3A">
        <w:t>),</w:t>
      </w:r>
      <w:r w:rsidR="008930D7" w:rsidRPr="008930D7">
        <w:t xml:space="preserve"> deren Hauptleistungspflichten noch nicht vollständig erfüllt sind und welche zum Inhalt haben</w:t>
      </w:r>
      <w:bookmarkEnd w:id="29"/>
      <w:r w:rsidR="00354C3A">
        <w:t>:</w:t>
      </w:r>
    </w:p>
    <w:p w14:paraId="554CB266" w14:textId="77777777" w:rsidR="00030518" w:rsidRPr="00E84DFA" w:rsidRDefault="00030518" w:rsidP="00E84DFA">
      <w:pPr>
        <w:pStyle w:val="TWNummerierung3"/>
      </w:pPr>
      <w:bookmarkStart w:id="30" w:name="_Ref192086790"/>
      <w:r>
        <w:t>Lieferverträge mit Lieferanten und Dienstleistern, die für den Geschäftsbetrieb wesentlich sind und die nicht oder nur mit wesentlichem Aufwand ausgetauscht werden können</w:t>
      </w:r>
      <w:r w:rsidRPr="00E84DFA">
        <w:rPr>
          <w:rStyle w:val="FootnoteReference"/>
          <w:rFonts w:eastAsia="Arial" w:cs="Arial"/>
          <w:sz w:val="20"/>
          <w:szCs w:val="20"/>
        </w:rPr>
        <w:footnoteReference w:id="3"/>
      </w:r>
      <w:r>
        <w:t>;</w:t>
      </w:r>
      <w:bookmarkEnd w:id="30"/>
    </w:p>
    <w:p w14:paraId="7A64C446" w14:textId="77777777" w:rsidR="00030518" w:rsidRDefault="00030518" w:rsidP="00E84DFA">
      <w:pPr>
        <w:pStyle w:val="TWNummerierung3"/>
      </w:pPr>
      <w:r>
        <w:t>Handelsvertreterverträge oder Verträge mit vergleichbarer Ausgestaltung oder vergleichbarer Wirkung im Kündigungsfall;</w:t>
      </w:r>
    </w:p>
    <w:p w14:paraId="43119186" w14:textId="17228EE7" w:rsidR="008930D7" w:rsidRPr="00B24ECF" w:rsidRDefault="00030518" w:rsidP="00354C3A">
      <w:pPr>
        <w:pStyle w:val="TWNummerierung3"/>
      </w:pPr>
      <w:r>
        <w:t xml:space="preserve">Sonstige </w:t>
      </w:r>
      <w:r w:rsidR="008930D7" w:rsidRPr="008930D7">
        <w:t xml:space="preserve">Dauerschuldverhältnisse, einschließlich von </w:t>
      </w:r>
      <w:r w:rsidR="008930D7" w:rsidRPr="00B24ECF">
        <w:t>Leasingverträgen, Transport- und Logistikverträgen, mit einem Jahreswert von mehr als EUR 10.000,00 (in Worten: zehntausend Euro) oder solche Dauerschuldverhältnisse, die durch ordentliche Kündigung nur auf einen Zeitpunkt später als drei (3) Monate nach dem Vollzugsdatum oder gar nicht beendet werden können; oder</w:t>
      </w:r>
    </w:p>
    <w:p w14:paraId="1408917B" w14:textId="51C73189" w:rsidR="008930D7" w:rsidRPr="008930D7" w:rsidRDefault="008930D7" w:rsidP="00425566">
      <w:pPr>
        <w:pStyle w:val="TWNummerierung3"/>
      </w:pPr>
      <w:r w:rsidRPr="00B24ECF">
        <w:t>Nicht vollständig erfüllte Schuldverhältnisse, die mit einer Zahlungs- oder anderen Verpflichtung von mehr als EUR 10.000,00 (in Worten: zehntausend Euro) verbunden</w:t>
      </w:r>
      <w:r w:rsidRPr="008930D7">
        <w:t xml:space="preserve"> sind und für welche keine Rückstellungen im letzten Jahresabschluss zum 31.</w:t>
      </w:r>
      <w:r w:rsidR="00094F43">
        <w:t> </w:t>
      </w:r>
      <w:r w:rsidRPr="008930D7">
        <w:t>Dezember [</w:t>
      </w:r>
      <w:r w:rsidRPr="008930D7">
        <w:rPr>
          <w:highlight w:val="yellow"/>
        </w:rPr>
        <w:t>●</w:t>
      </w:r>
      <w:r w:rsidRPr="008930D7">
        <w:t>] gebildet wurden; oder</w:t>
      </w:r>
    </w:p>
    <w:p w14:paraId="27C1E052" w14:textId="3CF25737" w:rsidR="008930D7" w:rsidRPr="008930D7" w:rsidRDefault="008930D7" w:rsidP="00094F43">
      <w:pPr>
        <w:pStyle w:val="TWNummerierung3"/>
      </w:pPr>
      <w:r w:rsidRPr="008930D7">
        <w:t>Beraterverträge mit einem J</w:t>
      </w:r>
      <w:r w:rsidRPr="00B24ECF">
        <w:t xml:space="preserve">ahreswert von mehr als </w:t>
      </w:r>
      <w:r w:rsidR="00094F43" w:rsidRPr="00B24ECF">
        <w:t xml:space="preserve">EUR 10.000,00 (in Worten: zehntausend Euro) </w:t>
      </w:r>
      <w:r w:rsidRPr="00B24ECF">
        <w:t>oder solche, die nur auf einen Zeitpunkt später als drei (3) Monate nach dem Vollzugsdatum oder</w:t>
      </w:r>
      <w:r w:rsidRPr="008930D7">
        <w:t xml:space="preserve"> gar nicht beendet werden können; oder</w:t>
      </w:r>
    </w:p>
    <w:p w14:paraId="53C76BF3" w14:textId="62893470" w:rsidR="008930D7" w:rsidRPr="008930D7" w:rsidRDefault="008930D7" w:rsidP="00094F43">
      <w:pPr>
        <w:pStyle w:val="TWNummerierung3"/>
      </w:pPr>
      <w:r w:rsidRPr="008930D7">
        <w:lastRenderedPageBreak/>
        <w:t>[</w:t>
      </w:r>
      <w:r w:rsidR="00094F43" w:rsidRPr="00094F43">
        <w:rPr>
          <w:i/>
          <w:iCs/>
          <w:highlight w:val="yellow"/>
        </w:rPr>
        <w:t>Bei Bedarf weitere Vertragskategorien ergänzen.</w:t>
      </w:r>
      <w:r w:rsidRPr="008930D7">
        <w:t>]</w:t>
      </w:r>
      <w:r w:rsidR="00094F43">
        <w:t>.</w:t>
      </w:r>
    </w:p>
    <w:p w14:paraId="24853207" w14:textId="3FE35008" w:rsidR="008930D7" w:rsidRPr="008930D7" w:rsidRDefault="008930D7" w:rsidP="00094F43">
      <w:pPr>
        <w:pStyle w:val="TWNummerierung2"/>
      </w:pPr>
      <w:r w:rsidRPr="008930D7">
        <w:t xml:space="preserve">Die </w:t>
      </w:r>
      <w:r w:rsidR="00094F43">
        <w:t>in</w:t>
      </w:r>
      <w:r w:rsidRPr="008930D7">
        <w:t xml:space="preserve"> </w:t>
      </w:r>
      <w:r w:rsidR="004D1BBC">
        <w:rPr>
          <w:u w:val="single"/>
        </w:rPr>
        <w:t>Anhang</w:t>
      </w:r>
      <w:r w:rsidR="00094F43" w:rsidRPr="00094F43">
        <w:rPr>
          <w:u w:val="single"/>
        </w:rPr>
        <w:t xml:space="preserve"> 1</w:t>
      </w:r>
      <w:r w:rsidR="004D1BBC">
        <w:rPr>
          <w:u w:val="single"/>
        </w:rPr>
        <w:t>3</w:t>
      </w:r>
      <w:r w:rsidR="00094F43" w:rsidRPr="00094F43">
        <w:rPr>
          <w:u w:val="single"/>
        </w:rPr>
        <w:t>.1</w:t>
      </w:r>
      <w:r w:rsidRPr="008930D7">
        <w:t xml:space="preserve"> aufgeführten Verträge sind nach </w:t>
      </w:r>
      <w:proofErr w:type="spellStart"/>
      <w:r w:rsidRPr="008930D7">
        <w:t>Bestem</w:t>
      </w:r>
      <w:proofErr w:type="spellEnd"/>
      <w:r w:rsidRPr="008930D7">
        <w:t xml:space="preserve"> Wissen der Verkäufer rechtsverbindlich </w:t>
      </w:r>
      <w:proofErr w:type="gramStart"/>
      <w:r w:rsidRPr="008930D7">
        <w:t>abgeschlossen</w:t>
      </w:r>
      <w:r w:rsidR="00030518">
        <w:t>,</w:t>
      </w:r>
      <w:r w:rsidRPr="008930D7">
        <w:t>.</w:t>
      </w:r>
      <w:proofErr w:type="gramEnd"/>
      <w:r w:rsidRPr="008930D7">
        <w:t xml:space="preserve"> weder gekündigt noch sonst beendet und keine</w:t>
      </w:r>
      <w:r w:rsidR="00030518">
        <w:t>r</w:t>
      </w:r>
      <w:r w:rsidRPr="008930D7">
        <w:t xml:space="preserve"> der </w:t>
      </w:r>
      <w:r w:rsidR="00030518">
        <w:t>jeweiligen Vertragspartner</w:t>
      </w:r>
      <w:r w:rsidR="00030518" w:rsidRPr="008930D7">
        <w:t xml:space="preserve"> </w:t>
      </w:r>
      <w:r w:rsidRPr="008930D7">
        <w:t xml:space="preserve">befindet sich nach </w:t>
      </w:r>
      <w:proofErr w:type="spellStart"/>
      <w:r w:rsidRPr="008930D7">
        <w:t>Bestem</w:t>
      </w:r>
      <w:proofErr w:type="spellEnd"/>
      <w:r w:rsidRPr="008930D7">
        <w:t xml:space="preserve"> Wissen der Verkäufer mit </w:t>
      </w:r>
      <w:r w:rsidR="00030518">
        <w:t xml:space="preserve">Erbringung </w:t>
      </w:r>
      <w:r w:rsidRPr="008930D7">
        <w:t>einer wesentlichen Pflicht in Verzug oder verletzt sonst wesentliche Vertragspflichten.</w:t>
      </w:r>
    </w:p>
    <w:p w14:paraId="24DD0DD6" w14:textId="2E651647" w:rsidR="008930D7" w:rsidRPr="008930D7" w:rsidRDefault="008930D7" w:rsidP="00094F43">
      <w:pPr>
        <w:pStyle w:val="TWNummerierung2"/>
        <w:rPr>
          <w:bCs/>
        </w:rPr>
      </w:pPr>
      <w:bookmarkStart w:id="31" w:name="_Ref136355815"/>
      <w:r w:rsidRPr="008930D7">
        <w:rPr>
          <w:bCs/>
        </w:rPr>
        <w:t xml:space="preserve">Mit </w:t>
      </w:r>
      <w:proofErr w:type="gramStart"/>
      <w:r w:rsidRPr="008930D7">
        <w:t>Ausnahme</w:t>
      </w:r>
      <w:proofErr w:type="gramEnd"/>
      <w:r w:rsidRPr="008930D7">
        <w:rPr>
          <w:bCs/>
        </w:rPr>
        <w:t xml:space="preserve"> der in </w:t>
      </w:r>
      <w:r w:rsidR="004D1BBC">
        <w:rPr>
          <w:b/>
          <w:bCs/>
          <w:u w:val="single"/>
        </w:rPr>
        <w:t>Anhang</w:t>
      </w:r>
      <w:r w:rsidR="00094F43" w:rsidRPr="00094F43">
        <w:rPr>
          <w:b/>
          <w:bCs/>
          <w:u w:val="single"/>
        </w:rPr>
        <w:t xml:space="preserve"> 1</w:t>
      </w:r>
      <w:r w:rsidR="004D1BBC">
        <w:rPr>
          <w:b/>
          <w:bCs/>
          <w:u w:val="single"/>
        </w:rPr>
        <w:t>3</w:t>
      </w:r>
      <w:r w:rsidR="00094F43" w:rsidRPr="00094F43">
        <w:rPr>
          <w:b/>
          <w:bCs/>
          <w:u w:val="single"/>
        </w:rPr>
        <w:t>.3</w:t>
      </w:r>
      <w:r w:rsidRPr="008930D7">
        <w:rPr>
          <w:bCs/>
        </w:rPr>
        <w:t xml:space="preserve"> aufgeführten Verträge bestehen keine Verträge mit sogenannten Change-</w:t>
      </w:r>
      <w:proofErr w:type="spellStart"/>
      <w:r w:rsidRPr="008930D7">
        <w:rPr>
          <w:bCs/>
        </w:rPr>
        <w:t>of</w:t>
      </w:r>
      <w:proofErr w:type="spellEnd"/>
      <w:r w:rsidRPr="008930D7">
        <w:rPr>
          <w:bCs/>
        </w:rPr>
        <w:t xml:space="preserve">-Control Klauseln, bei denen die Gesellschaft im Falle einer Übertragung </w:t>
      </w:r>
      <w:r w:rsidR="00030518">
        <w:rPr>
          <w:bCs/>
        </w:rPr>
        <w:t>der</w:t>
      </w:r>
      <w:r w:rsidR="00B61333">
        <w:rPr>
          <w:bCs/>
        </w:rPr>
        <w:t xml:space="preserve"> Anteile</w:t>
      </w:r>
      <w:r w:rsidRPr="008930D7">
        <w:rPr>
          <w:bCs/>
        </w:rPr>
        <w:t xml:space="preserve"> an d</w:t>
      </w:r>
      <w:r w:rsidR="00B61333">
        <w:rPr>
          <w:bCs/>
        </w:rPr>
        <w:t>en</w:t>
      </w:r>
      <w:r w:rsidRPr="008930D7">
        <w:rPr>
          <w:bCs/>
        </w:rPr>
        <w:t xml:space="preserve"> Käufer den anderen Vertragspartner informieren muss und diesem gegebenenfalls ein Sonderkündigungsrecht zusteht.</w:t>
      </w:r>
      <w:bookmarkEnd w:id="31"/>
    </w:p>
    <w:p w14:paraId="4F6895AB" w14:textId="77777777" w:rsidR="008930D7" w:rsidRPr="008930D7" w:rsidRDefault="008930D7" w:rsidP="00B61333">
      <w:pPr>
        <w:pStyle w:val="TWNummerierung1"/>
      </w:pPr>
      <w:bookmarkStart w:id="32" w:name="_Ref136355937"/>
      <w:r w:rsidRPr="008930D7">
        <w:t>Vermittlungs- und Beraterverträge im Zusammenhang mit der Transaktion</w:t>
      </w:r>
      <w:bookmarkEnd w:id="32"/>
    </w:p>
    <w:p w14:paraId="4A3A61F6" w14:textId="7431F7D8" w:rsidR="001E32B9" w:rsidRPr="008930D7" w:rsidRDefault="008930D7" w:rsidP="001E32B9">
      <w:pPr>
        <w:pStyle w:val="TWTextebene12"/>
        <w:rPr>
          <w:bCs/>
        </w:rPr>
      </w:pPr>
      <w:r w:rsidRPr="008930D7">
        <w:t xml:space="preserve">Soweit nicht in </w:t>
      </w:r>
      <w:r w:rsidR="004D1BBC">
        <w:rPr>
          <w:b/>
          <w:bCs/>
          <w:u w:val="single"/>
        </w:rPr>
        <w:t>Anhang</w:t>
      </w:r>
      <w:r w:rsidR="00B61333" w:rsidRPr="00B61333">
        <w:rPr>
          <w:b/>
          <w:bCs/>
          <w:u w:val="single"/>
        </w:rPr>
        <w:t xml:space="preserve"> 1</w:t>
      </w:r>
      <w:r w:rsidR="004D1BBC">
        <w:rPr>
          <w:b/>
          <w:bCs/>
          <w:u w:val="single"/>
        </w:rPr>
        <w:t>4</w:t>
      </w:r>
      <w:r w:rsidRPr="008930D7">
        <w:t xml:space="preserve"> </w:t>
      </w:r>
      <w:proofErr w:type="gramStart"/>
      <w:r w:rsidRPr="008930D7">
        <w:t>offen gelegt</w:t>
      </w:r>
      <w:proofErr w:type="gramEnd"/>
      <w:r w:rsidRPr="008930D7">
        <w:t>, hat sich die Gesellschaft gegenüber keinem Dritten (einschließlich Investmentbanken, Beratern, M&amp;A Consultants, Organmitgliedern und Mitarbeitern) zur Zahlung von Provisionen, Boni, Zulagen, Abfindungen oder sonstigen Honoraren im Zusammenhang mit der Anbahnung, der Vorbereitung, dem Abschluss oder der Durchführung der Transaktion verpflichtet.</w:t>
      </w:r>
    </w:p>
    <w:p w14:paraId="6BEE769E" w14:textId="77777777" w:rsidR="008930D7" w:rsidRPr="008930D7" w:rsidRDefault="008930D7" w:rsidP="001E32B9">
      <w:pPr>
        <w:pStyle w:val="TWNummerierung1"/>
      </w:pPr>
      <w:bookmarkStart w:id="33" w:name="_Ref136356033"/>
      <w:r w:rsidRPr="008930D7">
        <w:t>Vollständigkeit von Due Diligence Materialien</w:t>
      </w:r>
      <w:bookmarkEnd w:id="33"/>
    </w:p>
    <w:p w14:paraId="36498250" w14:textId="23F026A2" w:rsidR="008930D7" w:rsidRPr="008930D7" w:rsidRDefault="008930D7" w:rsidP="6179BC8C">
      <w:pPr>
        <w:pStyle w:val="TWTextebene12"/>
        <w:rPr>
          <w:rFonts w:eastAsia="Arial" w:cs="Arial"/>
          <w:sz w:val="20"/>
          <w:szCs w:val="20"/>
        </w:rPr>
      </w:pPr>
      <w:r>
        <w:t xml:space="preserve">Die im Zuge der Due Diligence im Datenraum zur Verfügung gestellten Informationen sind </w:t>
      </w:r>
      <w:r w:rsidR="58B605D3">
        <w:t xml:space="preserve">nach </w:t>
      </w:r>
      <w:proofErr w:type="spellStart"/>
      <w:r w:rsidR="58B605D3">
        <w:t>Bestem</w:t>
      </w:r>
      <w:proofErr w:type="spellEnd"/>
      <w:r w:rsidR="58B605D3">
        <w:t xml:space="preserve"> Wissen der Verkäufer </w:t>
      </w:r>
      <w:r>
        <w:t>im Wesentlichen vollständig, zutreffend und nicht irreführend.</w:t>
      </w:r>
      <w:r w:rsidR="2AC29539">
        <w:t xml:space="preserve"> [</w:t>
      </w:r>
      <w:r w:rsidR="2AC29539" w:rsidRPr="003B484A">
        <w:rPr>
          <w:highlight w:val="yellow"/>
        </w:rPr>
        <w:t xml:space="preserve">Alternativ: </w:t>
      </w:r>
      <w:r w:rsidR="003B484A">
        <w:rPr>
          <w:highlight w:val="yellow"/>
        </w:rPr>
        <w:t>N</w:t>
      </w:r>
      <w:r w:rsidR="003B484A" w:rsidRPr="003B484A">
        <w:rPr>
          <w:highlight w:val="yellow"/>
        </w:rPr>
        <w:t xml:space="preserve">ach </w:t>
      </w:r>
      <w:proofErr w:type="spellStart"/>
      <w:r w:rsidR="003B484A" w:rsidRPr="003B484A">
        <w:rPr>
          <w:highlight w:val="yellow"/>
        </w:rPr>
        <w:t>Bestem</w:t>
      </w:r>
      <w:proofErr w:type="spellEnd"/>
      <w:r w:rsidR="003B484A" w:rsidRPr="003B484A">
        <w:rPr>
          <w:highlight w:val="yellow"/>
        </w:rPr>
        <w:t xml:space="preserve"> Wissen </w:t>
      </w:r>
      <w:r w:rsidR="003B484A">
        <w:rPr>
          <w:highlight w:val="yellow"/>
        </w:rPr>
        <w:t>der</w:t>
      </w:r>
      <w:r w:rsidR="2AC29539" w:rsidRPr="003B484A">
        <w:rPr>
          <w:highlight w:val="yellow"/>
        </w:rPr>
        <w:t xml:space="preserve"> </w:t>
      </w:r>
      <w:r w:rsidR="00EE23D6" w:rsidRPr="003B484A">
        <w:rPr>
          <w:highlight w:val="yellow"/>
        </w:rPr>
        <w:t xml:space="preserve">Verkäufer haben </w:t>
      </w:r>
      <w:r w:rsidR="003B484A">
        <w:rPr>
          <w:highlight w:val="yellow"/>
        </w:rPr>
        <w:t xml:space="preserve">die Verkäufer </w:t>
      </w:r>
      <w:r w:rsidR="2AC29539" w:rsidRPr="003B484A">
        <w:rPr>
          <w:highlight w:val="yellow"/>
        </w:rPr>
        <w:t xml:space="preserve">im Zuge der Due Diligence </w:t>
      </w:r>
      <w:r w:rsidR="00EE23D6" w:rsidRPr="003B484A">
        <w:rPr>
          <w:highlight w:val="yellow"/>
        </w:rPr>
        <w:t>keine</w:t>
      </w:r>
      <w:r w:rsidR="2AC29539" w:rsidRPr="003B484A">
        <w:rPr>
          <w:highlight w:val="yellow"/>
        </w:rPr>
        <w:t xml:space="preserve"> Informationen</w:t>
      </w:r>
      <w:r w:rsidR="2AC29539" w:rsidRPr="003B484A">
        <w:rPr>
          <w:rFonts w:eastAsia="Arial" w:cs="Arial"/>
          <w:sz w:val="20"/>
          <w:szCs w:val="20"/>
          <w:highlight w:val="yellow"/>
        </w:rPr>
        <w:t xml:space="preserve"> </w:t>
      </w:r>
      <w:r w:rsidR="00EE23D6" w:rsidRPr="003B484A">
        <w:rPr>
          <w:rFonts w:eastAsia="Arial" w:cs="Arial"/>
          <w:sz w:val="20"/>
          <w:szCs w:val="20"/>
          <w:highlight w:val="yellow"/>
        </w:rPr>
        <w:t xml:space="preserve">treuwidrig zurückgehalten, welche für die Kaufentscheidung eines verständigen, objektiven und professionell beratenen </w:t>
      </w:r>
      <w:r w:rsidR="003B484A">
        <w:rPr>
          <w:rFonts w:eastAsia="Arial" w:cs="Arial"/>
          <w:sz w:val="20"/>
          <w:szCs w:val="20"/>
          <w:highlight w:val="yellow"/>
        </w:rPr>
        <w:t>Käufers</w:t>
      </w:r>
      <w:r w:rsidR="00EE23D6" w:rsidRPr="003B484A">
        <w:rPr>
          <w:rFonts w:eastAsia="Arial" w:cs="Arial"/>
          <w:sz w:val="20"/>
          <w:szCs w:val="20"/>
          <w:highlight w:val="yellow"/>
        </w:rPr>
        <w:t xml:space="preserve"> offensichtlich wesentlich sind und welche der </w:t>
      </w:r>
      <w:r w:rsidR="003B484A">
        <w:rPr>
          <w:rFonts w:eastAsia="Arial" w:cs="Arial"/>
          <w:sz w:val="20"/>
          <w:szCs w:val="20"/>
          <w:highlight w:val="yellow"/>
        </w:rPr>
        <w:t>Käufer</w:t>
      </w:r>
      <w:r w:rsidR="00EE23D6" w:rsidRPr="003B484A">
        <w:rPr>
          <w:rFonts w:eastAsia="Arial" w:cs="Arial"/>
          <w:sz w:val="20"/>
          <w:szCs w:val="20"/>
          <w:highlight w:val="yellow"/>
        </w:rPr>
        <w:t xml:space="preserve"> nicht im Zuge der Due Diligence abgefragt hat.</w:t>
      </w:r>
      <w:r w:rsidR="50E0830D" w:rsidRPr="6179BC8C">
        <w:rPr>
          <w:rFonts w:eastAsia="Arial" w:cs="Arial"/>
          <w:sz w:val="20"/>
          <w:szCs w:val="20"/>
        </w:rPr>
        <w:t>]</w:t>
      </w:r>
      <w:r w:rsidRPr="6179BC8C">
        <w:rPr>
          <w:rStyle w:val="FootnoteReference"/>
          <w:rFonts w:eastAsia="Arial" w:cs="Arial"/>
          <w:sz w:val="20"/>
          <w:szCs w:val="20"/>
        </w:rPr>
        <w:footnoteReference w:id="4"/>
      </w:r>
    </w:p>
    <w:sectPr w:rsidR="008930D7" w:rsidRPr="008930D7" w:rsidSect="00F073D2">
      <w:footerReference w:type="default" r:id="rId10"/>
      <w:pgSz w:w="11906" w:h="16838"/>
      <w:pgMar w:top="1417" w:right="1417" w:bottom="1134"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A74C7" w14:textId="77777777" w:rsidR="0011035A" w:rsidRDefault="0011035A" w:rsidP="00683906">
      <w:pPr>
        <w:spacing w:after="0" w:line="240" w:lineRule="auto"/>
      </w:pPr>
      <w:r>
        <w:separator/>
      </w:r>
    </w:p>
  </w:endnote>
  <w:endnote w:type="continuationSeparator" w:id="0">
    <w:p w14:paraId="45D9C6B3" w14:textId="77777777" w:rsidR="0011035A" w:rsidRDefault="0011035A" w:rsidP="00683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Fett">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FB9B4" w14:textId="77777777" w:rsidR="00751AF0" w:rsidRDefault="00751AF0" w:rsidP="00216703">
    <w:pPr>
      <w:pStyle w:val="Footer"/>
      <w:rPr>
        <w:rFonts w:cs="Arial"/>
        <w:sz w:val="16"/>
        <w:szCs w:val="16"/>
      </w:rPr>
    </w:pPr>
  </w:p>
  <w:p w14:paraId="1CE789CF" w14:textId="77777777" w:rsidR="00751AF0" w:rsidRDefault="00751AF0" w:rsidP="00216703">
    <w:pPr>
      <w:pStyle w:val="Footer"/>
      <w:rPr>
        <w:rFonts w:cs="Arial"/>
        <w:sz w:val="16"/>
        <w:szCs w:val="16"/>
      </w:rPr>
    </w:pPr>
  </w:p>
  <w:p w14:paraId="0C511A09" w14:textId="799E9114" w:rsidR="00751AF0" w:rsidRPr="00216703" w:rsidRDefault="00751AF0" w:rsidP="00216703">
    <w:pPr>
      <w:pStyle w:val="Footer"/>
      <w:rPr>
        <w:sz w:val="16"/>
        <w:szCs w:val="16"/>
      </w:rPr>
    </w:pPr>
    <w:r w:rsidRPr="00D73DAC">
      <w:rPr>
        <w:rFonts w:cs="Arial"/>
        <w:sz w:val="16"/>
        <w:szCs w:val="16"/>
      </w:rPr>
      <w:tab/>
    </w:r>
    <w:r w:rsidRPr="00D73DAC">
      <w:rPr>
        <w:rFonts w:cs="Arial"/>
        <w:sz w:val="16"/>
        <w:szCs w:val="16"/>
      </w:rPr>
      <w:tab/>
    </w:r>
    <w:r w:rsidRPr="00216703">
      <w:rPr>
        <w:rFonts w:cs="Arial"/>
        <w:sz w:val="16"/>
        <w:szCs w:val="16"/>
      </w:rPr>
      <w:t xml:space="preserve">Seite </w:t>
    </w:r>
    <w:r w:rsidRPr="00216703">
      <w:rPr>
        <w:rFonts w:cs="Arial"/>
        <w:sz w:val="16"/>
        <w:szCs w:val="16"/>
      </w:rPr>
      <w:fldChar w:fldCharType="begin"/>
    </w:r>
    <w:r w:rsidRPr="00216703">
      <w:rPr>
        <w:rFonts w:cs="Arial"/>
        <w:sz w:val="16"/>
        <w:szCs w:val="16"/>
      </w:rPr>
      <w:instrText xml:space="preserve"> Page </w:instrText>
    </w:r>
    <w:r w:rsidRPr="00216703">
      <w:rPr>
        <w:rFonts w:cs="Arial"/>
        <w:sz w:val="16"/>
        <w:szCs w:val="16"/>
      </w:rPr>
      <w:fldChar w:fldCharType="separate"/>
    </w:r>
    <w:r w:rsidRPr="00216703">
      <w:rPr>
        <w:rFonts w:cs="Arial"/>
        <w:noProof/>
        <w:sz w:val="16"/>
        <w:szCs w:val="16"/>
      </w:rPr>
      <w:t>1</w:t>
    </w:r>
    <w:r w:rsidRPr="00216703">
      <w:rPr>
        <w:rFonts w:cs="Arial"/>
        <w:sz w:val="16"/>
        <w:szCs w:val="16"/>
      </w:rPr>
      <w:fldChar w:fldCharType="end"/>
    </w:r>
    <w:r w:rsidRPr="00216703">
      <w:rPr>
        <w:rFonts w:cs="Arial"/>
        <w:sz w:val="16"/>
        <w:szCs w:val="16"/>
      </w:rPr>
      <w:t xml:space="preserve"> von </w:t>
    </w:r>
    <w:r w:rsidRPr="00216703">
      <w:rPr>
        <w:rFonts w:cs="Arial"/>
        <w:sz w:val="16"/>
        <w:szCs w:val="16"/>
      </w:rPr>
      <w:fldChar w:fldCharType="begin"/>
    </w:r>
    <w:r w:rsidRPr="00216703">
      <w:rPr>
        <w:rFonts w:cs="Arial"/>
        <w:sz w:val="16"/>
        <w:szCs w:val="16"/>
      </w:rPr>
      <w:instrText xml:space="preserve"> NUMPAGES  \* Arabic  \* MERGEFORMAT </w:instrText>
    </w:r>
    <w:r w:rsidRPr="00216703">
      <w:rPr>
        <w:rFonts w:cs="Arial"/>
        <w:sz w:val="16"/>
        <w:szCs w:val="16"/>
      </w:rPr>
      <w:fldChar w:fldCharType="separate"/>
    </w:r>
    <w:r w:rsidRPr="00216703">
      <w:rPr>
        <w:rFonts w:cs="Arial"/>
        <w:noProof/>
        <w:sz w:val="16"/>
        <w:szCs w:val="16"/>
      </w:rPr>
      <w:t>1</w:t>
    </w:r>
    <w:r w:rsidRPr="00216703">
      <w:rPr>
        <w:rFonts w:cs="Arial"/>
        <w:sz w:val="16"/>
        <w:szCs w:val="16"/>
      </w:rPr>
      <w:fldChar w:fldCharType="end"/>
    </w:r>
  </w:p>
  <w:p w14:paraId="1FE33AAB" w14:textId="77777777" w:rsidR="00751AF0" w:rsidRDefault="00751A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A9333" w14:textId="77777777" w:rsidR="0011035A" w:rsidRDefault="0011035A" w:rsidP="00683906">
      <w:pPr>
        <w:spacing w:after="0" w:line="240" w:lineRule="auto"/>
      </w:pPr>
      <w:r>
        <w:separator/>
      </w:r>
    </w:p>
  </w:footnote>
  <w:footnote w:type="continuationSeparator" w:id="0">
    <w:p w14:paraId="1DE40F83" w14:textId="77777777" w:rsidR="0011035A" w:rsidRDefault="0011035A" w:rsidP="00683906">
      <w:pPr>
        <w:spacing w:after="0" w:line="240" w:lineRule="auto"/>
      </w:pPr>
      <w:r>
        <w:continuationSeparator/>
      </w:r>
    </w:p>
  </w:footnote>
  <w:footnote w:id="1">
    <w:p w14:paraId="08DDA8C8" w14:textId="4FFA6C1F" w:rsidR="00DF1C69" w:rsidRDefault="00DF1C69" w:rsidP="00E84DFA">
      <w:pPr>
        <w:pStyle w:val="FootnoteText"/>
        <w:jc w:val="both"/>
      </w:pPr>
      <w:r w:rsidRPr="00E84DFA">
        <w:rPr>
          <w:rStyle w:val="FootnoteReference"/>
          <w:sz w:val="18"/>
          <w:szCs w:val="18"/>
        </w:rPr>
        <w:footnoteRef/>
      </w:r>
      <w:r w:rsidRPr="00E84DFA">
        <w:rPr>
          <w:sz w:val="18"/>
          <w:szCs w:val="18"/>
        </w:rPr>
        <w:t xml:space="preserve"> Je nachdem, wie relevant die Eigene Software für den Geschäftsbetrieb ist, wäre diese Garantie auch objektiv abzugeben, d.h. nicht auf Bestes Wissen der Verkäufer beschränkt.</w:t>
      </w:r>
    </w:p>
  </w:footnote>
  <w:footnote w:id="2">
    <w:p w14:paraId="453B8B8C" w14:textId="77777777" w:rsidR="00DF1C69" w:rsidRDefault="00DF1C69" w:rsidP="00E84DFA">
      <w:pPr>
        <w:pStyle w:val="FootnoteText"/>
        <w:jc w:val="both"/>
        <w:rPr>
          <w:rFonts w:asciiTheme="minorHAnsi" w:hAnsiTheme="minorHAnsi"/>
          <w:sz w:val="16"/>
        </w:rPr>
      </w:pPr>
      <w:r w:rsidRPr="00DF1C69">
        <w:rPr>
          <w:rStyle w:val="FootnoteReference"/>
          <w:sz w:val="18"/>
          <w:szCs w:val="18"/>
        </w:rPr>
        <w:footnoteRef/>
      </w:r>
      <w:r w:rsidRPr="00DF1C69">
        <w:rPr>
          <w:sz w:val="18"/>
          <w:szCs w:val="18"/>
        </w:rPr>
        <w:t xml:space="preserve"> Je nach Geschäftsmodell spielt das Thema Datenschutz eine größere oder weniger große Bedeutung. Die Garantie ist entsprechend anzupassen.</w:t>
      </w:r>
    </w:p>
  </w:footnote>
  <w:footnote w:id="3">
    <w:p w14:paraId="06CAADBD" w14:textId="5497FFE3" w:rsidR="00030518" w:rsidRDefault="00030518" w:rsidP="00E84DFA">
      <w:pPr>
        <w:pStyle w:val="FootnoteText"/>
        <w:jc w:val="both"/>
      </w:pPr>
      <w:r w:rsidRPr="00E84DFA">
        <w:rPr>
          <w:rStyle w:val="FootnoteReference"/>
          <w:sz w:val="18"/>
          <w:szCs w:val="18"/>
        </w:rPr>
        <w:footnoteRef/>
      </w:r>
      <w:r w:rsidRPr="00E84DFA">
        <w:rPr>
          <w:sz w:val="18"/>
          <w:szCs w:val="18"/>
        </w:rPr>
        <w:t xml:space="preserve"> Je nach Geschäftsmodell </w:t>
      </w:r>
      <w:r>
        <w:rPr>
          <w:sz w:val="18"/>
          <w:szCs w:val="18"/>
        </w:rPr>
        <w:t>könnte</w:t>
      </w:r>
      <w:r w:rsidRPr="00E84DFA">
        <w:rPr>
          <w:sz w:val="18"/>
          <w:szCs w:val="18"/>
        </w:rPr>
        <w:t xml:space="preserve"> auch eine eigene Garantie zu den Lieferantenverhältnissen </w:t>
      </w:r>
      <w:r>
        <w:rPr>
          <w:sz w:val="18"/>
          <w:szCs w:val="18"/>
        </w:rPr>
        <w:t>aufgenommen werden</w:t>
      </w:r>
      <w:r w:rsidRPr="00E84DFA">
        <w:rPr>
          <w:sz w:val="18"/>
          <w:szCs w:val="18"/>
        </w:rPr>
        <w:t xml:space="preserve"> (</w:t>
      </w:r>
      <w:r>
        <w:rPr>
          <w:sz w:val="18"/>
          <w:szCs w:val="18"/>
        </w:rPr>
        <w:t>wie hinsichtlich der</w:t>
      </w:r>
      <w:r w:rsidRPr="00E84DFA">
        <w:rPr>
          <w:sz w:val="18"/>
          <w:szCs w:val="18"/>
        </w:rPr>
        <w:t xml:space="preserve"> Kundenverhältnisse).</w:t>
      </w:r>
    </w:p>
  </w:footnote>
  <w:footnote w:id="4">
    <w:p w14:paraId="0E7E14C7" w14:textId="12341BE0" w:rsidR="6179BC8C" w:rsidRDefault="6179BC8C" w:rsidP="003B484A">
      <w:pPr>
        <w:pStyle w:val="FootnoteText"/>
        <w:jc w:val="both"/>
      </w:pPr>
      <w:r w:rsidRPr="6179BC8C">
        <w:rPr>
          <w:rStyle w:val="FootnoteReference"/>
        </w:rPr>
        <w:footnoteRef/>
      </w:r>
      <w:r>
        <w:t xml:space="preserve"> Die Garantie, dass alle im Rahmen der Due Diligence zur Verfügung gestellten Informationen vollständig, zutreffend und nicht irreführend sind (sog. “Full Disclosure”) ist in der Praxis eine der am intensivsten diskutierten Garantien. Beide Sichtweisen sind verständlich. Aus Verkäufersicht ist es deshalb unbedingt zu empfehlen, den Due Diligence Prozess sehr strukturiert zu organisieren (s. dazu bereits in der Vorbemerkung). Und zwar unabhängig von einer solchen Garantie, denn die Haftung für Vorsatz, auch bei Angaben ins Blaue hinein, ist nach deutschem Recht relativ streng.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82825E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DE2AAF7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80A0E90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E788A0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B96781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9AE02D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43CA73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0D2E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CC8EBC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33417A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9B32E6"/>
    <w:multiLevelType w:val="multilevel"/>
    <w:tmpl w:val="35DA471C"/>
    <w:styleLink w:val="TWTabellelinks"/>
    <w:lvl w:ilvl="0">
      <w:start w:val="1"/>
      <w:numFmt w:val="decimal"/>
      <w:pStyle w:val="TWTabellelinks1"/>
      <w:lvlText w:val="%1."/>
      <w:lvlJc w:val="left"/>
      <w:pPr>
        <w:tabs>
          <w:tab w:val="num" w:pos="567"/>
        </w:tabs>
        <w:ind w:left="567" w:hanging="567"/>
      </w:pPr>
      <w:rPr>
        <w:rFonts w:ascii="Arial" w:hAnsi="Arial" w:hint="default"/>
        <w:sz w:val="21"/>
      </w:rPr>
    </w:lvl>
    <w:lvl w:ilvl="1">
      <w:start w:val="1"/>
      <w:numFmt w:val="decimal"/>
      <w:pStyle w:val="TWTabellelinks2"/>
      <w:lvlText w:val="%1.%2"/>
      <w:lvlJc w:val="left"/>
      <w:pPr>
        <w:tabs>
          <w:tab w:val="num" w:pos="567"/>
        </w:tabs>
        <w:ind w:left="567" w:hanging="567"/>
      </w:pPr>
      <w:rPr>
        <w:rFonts w:ascii="Arial" w:hAnsi="Arial" w:hint="default"/>
        <w:sz w:val="21"/>
      </w:rPr>
    </w:lvl>
    <w:lvl w:ilvl="2">
      <w:start w:val="1"/>
      <w:numFmt w:val="lowerLetter"/>
      <w:pStyle w:val="TWTabellelinks3"/>
      <w:lvlText w:val="(%3)"/>
      <w:lvlJc w:val="left"/>
      <w:pPr>
        <w:tabs>
          <w:tab w:val="num" w:pos="1134"/>
        </w:tabs>
        <w:ind w:left="1134" w:hanging="567"/>
      </w:pPr>
      <w:rPr>
        <w:rFonts w:ascii="Arial" w:hAnsi="Arial" w:hint="default"/>
        <w:sz w:val="21"/>
      </w:rPr>
    </w:lvl>
    <w:lvl w:ilvl="3">
      <w:start w:val="1"/>
      <w:numFmt w:val="lowerRoman"/>
      <w:pStyle w:val="TWTabellelinks4"/>
      <w:lvlText w:val="(%4)"/>
      <w:lvlJc w:val="left"/>
      <w:pPr>
        <w:tabs>
          <w:tab w:val="num" w:pos="1134"/>
        </w:tabs>
        <w:ind w:left="1134" w:hanging="567"/>
      </w:pPr>
      <w:rPr>
        <w:rFonts w:ascii="Arial" w:hAnsi="Arial" w:hint="default"/>
        <w:sz w:val="21"/>
      </w:rPr>
    </w:lvl>
    <w:lvl w:ilvl="4">
      <w:start w:val="1"/>
      <w:numFmt w:val="upperLetter"/>
      <w:pStyle w:val="TWTabellelinks5"/>
      <w:lvlText w:val="(%5)"/>
      <w:lvlJc w:val="left"/>
      <w:pPr>
        <w:tabs>
          <w:tab w:val="num" w:pos="1134"/>
        </w:tabs>
        <w:ind w:left="1134" w:hanging="567"/>
      </w:pPr>
      <w:rPr>
        <w:rFonts w:ascii="Arial" w:hAnsi="Arial" w:hint="default"/>
        <w:sz w:val="21"/>
      </w:rPr>
    </w:lvl>
    <w:lvl w:ilvl="5">
      <w:start w:val="1"/>
      <w:numFmt w:val="upperRoman"/>
      <w:pStyle w:val="TWTabellelinks6"/>
      <w:lvlText w:val="(%6)"/>
      <w:lvlJc w:val="left"/>
      <w:pPr>
        <w:tabs>
          <w:tab w:val="num" w:pos="1134"/>
        </w:tabs>
        <w:ind w:left="1134" w:hanging="567"/>
      </w:pPr>
      <w:rPr>
        <w:rFonts w:ascii="Arial" w:hAnsi="Arial" w:hint="default"/>
        <w:sz w:val="21"/>
      </w:rPr>
    </w:lvl>
    <w:lvl w:ilvl="6">
      <w:start w:val="1"/>
      <w:numFmt w:val="lowerLetter"/>
      <w:pStyle w:val="TWTabellelinks7"/>
      <w:lvlText w:val="%7."/>
      <w:lvlJc w:val="left"/>
      <w:pPr>
        <w:tabs>
          <w:tab w:val="num" w:pos="1134"/>
        </w:tabs>
        <w:ind w:left="1134" w:hanging="567"/>
      </w:pPr>
      <w:rPr>
        <w:rFonts w:ascii="Arial" w:hAnsi="Arial" w:hint="default"/>
        <w:sz w:val="21"/>
      </w:rPr>
    </w:lvl>
    <w:lvl w:ilvl="7">
      <w:start w:val="1"/>
      <w:numFmt w:val="lowerRoman"/>
      <w:lvlText w:val="%8."/>
      <w:lvlJc w:val="left"/>
      <w:pPr>
        <w:tabs>
          <w:tab w:val="num" w:pos="1134"/>
        </w:tabs>
        <w:ind w:left="1134" w:hanging="567"/>
      </w:pPr>
      <w:rPr>
        <w:rFonts w:hint="default"/>
      </w:rPr>
    </w:lvl>
    <w:lvl w:ilvl="8">
      <w:start w:val="1"/>
      <w:numFmt w:val="upperLetter"/>
      <w:lvlText w:val="%9."/>
      <w:lvlJc w:val="left"/>
      <w:pPr>
        <w:tabs>
          <w:tab w:val="num" w:pos="1134"/>
        </w:tabs>
        <w:ind w:left="1134" w:hanging="567"/>
      </w:pPr>
      <w:rPr>
        <w:rFonts w:hint="default"/>
      </w:rPr>
    </w:lvl>
  </w:abstractNum>
  <w:abstractNum w:abstractNumId="11" w15:restartNumberingAfterBreak="0">
    <w:nsid w:val="072C4237"/>
    <w:multiLevelType w:val="multilevel"/>
    <w:tmpl w:val="871EF496"/>
    <w:numStyleLink w:val="TWTabellePrambellinks"/>
  </w:abstractNum>
  <w:abstractNum w:abstractNumId="12" w15:restartNumberingAfterBreak="0">
    <w:nsid w:val="089D1AB8"/>
    <w:multiLevelType w:val="multilevel"/>
    <w:tmpl w:val="92D6AEBE"/>
    <w:styleLink w:val="TWPatAntragsgliederung"/>
    <w:lvl w:ilvl="0">
      <w:start w:val="1"/>
      <w:numFmt w:val="upperRoman"/>
      <w:lvlRestart w:val="0"/>
      <w:pStyle w:val="TWPatAntragsgliederung1"/>
      <w:lvlText w:val="(%1)"/>
      <w:lvlJc w:val="left"/>
      <w:pPr>
        <w:tabs>
          <w:tab w:val="num" w:pos="567"/>
        </w:tabs>
        <w:ind w:left="567" w:hanging="567"/>
      </w:pPr>
      <w:rPr>
        <w:rFonts w:hint="default"/>
      </w:rPr>
    </w:lvl>
    <w:lvl w:ilvl="1">
      <w:start w:val="1"/>
      <w:numFmt w:val="decimal"/>
      <w:pStyle w:val="TWPatAntragsgliederung2"/>
      <w:lvlText w:val="%2."/>
      <w:lvlJc w:val="left"/>
      <w:pPr>
        <w:tabs>
          <w:tab w:val="num" w:pos="567"/>
        </w:tabs>
        <w:ind w:left="567" w:hanging="567"/>
      </w:pPr>
      <w:rPr>
        <w:rFonts w:hint="default"/>
      </w:rPr>
    </w:lvl>
    <w:lvl w:ilvl="2">
      <w:start w:val="1"/>
      <w:numFmt w:val="lowerLetter"/>
      <w:pStyle w:val="TWPatAntragsgliederung3"/>
      <w:lvlText w:val="%3)"/>
      <w:lvlJc w:val="left"/>
      <w:pPr>
        <w:tabs>
          <w:tab w:val="num" w:pos="1134"/>
        </w:tabs>
        <w:ind w:left="1134" w:hanging="567"/>
      </w:pPr>
      <w:rPr>
        <w:rFonts w:hint="default"/>
      </w:rPr>
    </w:lvl>
    <w:lvl w:ilvl="3">
      <w:start w:val="1"/>
      <w:numFmt w:val="decimal"/>
      <w:lvlText w:val="(%4)"/>
      <w:lvlJc w:val="left"/>
      <w:pPr>
        <w:tabs>
          <w:tab w:val="num" w:pos="567"/>
        </w:tabs>
        <w:ind w:left="567" w:hanging="567"/>
      </w:pPr>
      <w:rPr>
        <w:rFonts w:hint="default"/>
      </w:rPr>
    </w:lvl>
    <w:lvl w:ilvl="4">
      <w:start w:val="1"/>
      <w:numFmt w:val="lowerLetter"/>
      <w:lvlText w:val="(%5)"/>
      <w:lvlJc w:val="left"/>
      <w:pPr>
        <w:tabs>
          <w:tab w:val="num" w:pos="567"/>
        </w:tabs>
        <w:ind w:left="567" w:hanging="567"/>
      </w:pPr>
      <w:rPr>
        <w:rFonts w:hint="default"/>
      </w:rPr>
    </w:lvl>
    <w:lvl w:ilvl="5">
      <w:start w:val="1"/>
      <w:numFmt w:val="lowerRoman"/>
      <w:lvlText w:val="(%6)"/>
      <w:lvlJc w:val="lef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left"/>
      <w:pPr>
        <w:tabs>
          <w:tab w:val="num" w:pos="567"/>
        </w:tabs>
        <w:ind w:left="567" w:hanging="567"/>
      </w:pPr>
      <w:rPr>
        <w:rFonts w:hint="default"/>
      </w:rPr>
    </w:lvl>
  </w:abstractNum>
  <w:abstractNum w:abstractNumId="13" w15:restartNumberingAfterBreak="0">
    <w:nsid w:val="09FD69C9"/>
    <w:multiLevelType w:val="multilevel"/>
    <w:tmpl w:val="FA72B444"/>
    <w:styleLink w:val="TWPatGliederung"/>
    <w:lvl w:ilvl="0">
      <w:start w:val="1"/>
      <w:numFmt w:val="upperLetter"/>
      <w:lvlRestart w:val="0"/>
      <w:pStyle w:val="TWPatGliederung1"/>
      <w:lvlText w:val="%1."/>
      <w:lvlJc w:val="left"/>
      <w:pPr>
        <w:tabs>
          <w:tab w:val="num" w:pos="567"/>
        </w:tabs>
        <w:ind w:left="567" w:hanging="567"/>
      </w:pPr>
      <w:rPr>
        <w:rFonts w:hint="default"/>
      </w:rPr>
    </w:lvl>
    <w:lvl w:ilvl="1">
      <w:start w:val="1"/>
      <w:numFmt w:val="upperRoman"/>
      <w:pStyle w:val="TWPatGliederung2"/>
      <w:lvlText w:val="%2."/>
      <w:lvlJc w:val="left"/>
      <w:pPr>
        <w:tabs>
          <w:tab w:val="num" w:pos="567"/>
        </w:tabs>
        <w:ind w:left="567" w:hanging="567"/>
      </w:pPr>
      <w:rPr>
        <w:rFonts w:hint="default"/>
      </w:rPr>
    </w:lvl>
    <w:lvl w:ilvl="2">
      <w:start w:val="1"/>
      <w:numFmt w:val="decimal"/>
      <w:pStyle w:val="TWPatGliederung3"/>
      <w:lvlText w:val="%3."/>
      <w:lvlJc w:val="left"/>
      <w:pPr>
        <w:tabs>
          <w:tab w:val="num" w:pos="1134"/>
        </w:tabs>
        <w:ind w:left="1134" w:hanging="567"/>
      </w:pPr>
      <w:rPr>
        <w:rFonts w:hint="default"/>
      </w:rPr>
    </w:lvl>
    <w:lvl w:ilvl="3">
      <w:start w:val="1"/>
      <w:numFmt w:val="lowerLetter"/>
      <w:pStyle w:val="TWPatGliederung4"/>
      <w:lvlText w:val="%4."/>
      <w:lvlJc w:val="left"/>
      <w:pPr>
        <w:tabs>
          <w:tab w:val="num" w:pos="1701"/>
        </w:tabs>
        <w:ind w:left="1701" w:hanging="567"/>
      </w:pPr>
      <w:rPr>
        <w:rFonts w:hint="default"/>
      </w:rPr>
    </w:lvl>
    <w:lvl w:ilvl="4">
      <w:start w:val="27"/>
      <w:numFmt w:val="lowerLetter"/>
      <w:pStyle w:val="TWPatGliederung5"/>
      <w:lvlText w:val="%5"/>
      <w:lvlJc w:val="left"/>
      <w:pPr>
        <w:tabs>
          <w:tab w:val="num" w:pos="2268"/>
        </w:tabs>
        <w:ind w:left="2268" w:hanging="567"/>
      </w:pPr>
      <w:rPr>
        <w:rFonts w:hint="default"/>
      </w:rPr>
    </w:lvl>
    <w:lvl w:ilvl="5">
      <w:start w:val="1"/>
      <w:numFmt w:val="decimal"/>
      <w:pStyle w:val="TWPatGliederung6"/>
      <w:lvlText w:val="(%6)"/>
      <w:lvlJc w:val="left"/>
      <w:pPr>
        <w:tabs>
          <w:tab w:val="num" w:pos="2835"/>
        </w:tabs>
        <w:ind w:left="2835" w:hanging="567"/>
      </w:pPr>
      <w:rPr>
        <w:rFonts w:hint="default"/>
      </w:rPr>
    </w:lvl>
    <w:lvl w:ilvl="6">
      <w:start w:val="1"/>
      <w:numFmt w:val="lowerLetter"/>
      <w:pStyle w:val="TWPatGliederung7"/>
      <w:lvlText w:val="(%7)"/>
      <w:lvlJc w:val="left"/>
      <w:pPr>
        <w:tabs>
          <w:tab w:val="num" w:pos="3402"/>
        </w:tabs>
        <w:ind w:left="3402" w:hanging="567"/>
      </w:pPr>
      <w:rPr>
        <w:rFonts w:hint="default"/>
      </w:rPr>
    </w:lvl>
    <w:lvl w:ilvl="7">
      <w:start w:val="27"/>
      <w:numFmt w:val="lowerLetter"/>
      <w:pStyle w:val="TWPatGliederung8"/>
      <w:lvlText w:val="(%8)"/>
      <w:lvlJc w:val="left"/>
      <w:pPr>
        <w:tabs>
          <w:tab w:val="num" w:pos="3969"/>
        </w:tabs>
        <w:ind w:left="3969" w:hanging="567"/>
      </w:pPr>
      <w:rPr>
        <w:rFonts w:hint="default"/>
      </w:rPr>
    </w:lvl>
    <w:lvl w:ilvl="8">
      <w:start w:val="1"/>
      <w:numFmt w:val="lowerRoman"/>
      <w:lvlText w:val="%9."/>
      <w:lvlJc w:val="left"/>
      <w:pPr>
        <w:tabs>
          <w:tab w:val="num" w:pos="567"/>
        </w:tabs>
        <w:ind w:left="567" w:hanging="567"/>
      </w:pPr>
      <w:rPr>
        <w:rFonts w:hint="default"/>
      </w:rPr>
    </w:lvl>
  </w:abstractNum>
  <w:abstractNum w:abstractNumId="14" w15:restartNumberingAfterBreak="0">
    <w:nsid w:val="0AD8299E"/>
    <w:multiLevelType w:val="multilevel"/>
    <w:tmpl w:val="9D8A5C4C"/>
    <w:lvl w:ilvl="0">
      <w:start w:val="1"/>
      <w:numFmt w:val="decimal"/>
      <w:pStyle w:val="TWProspektEbene1"/>
      <w:lvlText w:val="%1."/>
      <w:lvlJc w:val="left"/>
      <w:pPr>
        <w:tabs>
          <w:tab w:val="num" w:pos="510"/>
        </w:tabs>
        <w:ind w:left="510" w:hanging="510"/>
      </w:pPr>
      <w:rPr>
        <w:rFonts w:ascii="Arial" w:hAnsi="Arial" w:hint="default"/>
        <w:sz w:val="20"/>
      </w:rPr>
    </w:lvl>
    <w:lvl w:ilvl="1">
      <w:start w:val="1"/>
      <w:numFmt w:val="decimal"/>
      <w:pStyle w:val="TWProspektEbene2"/>
      <w:lvlText w:val="%1.%2"/>
      <w:lvlJc w:val="left"/>
      <w:pPr>
        <w:tabs>
          <w:tab w:val="num" w:pos="510"/>
        </w:tabs>
        <w:ind w:left="510" w:hanging="510"/>
      </w:pPr>
      <w:rPr>
        <w:rFonts w:ascii="Arial" w:hAnsi="Arial" w:hint="default"/>
        <w:sz w:val="20"/>
      </w:rPr>
    </w:lvl>
    <w:lvl w:ilvl="2">
      <w:start w:val="1"/>
      <w:numFmt w:val="decimal"/>
      <w:pStyle w:val="TWProspektEbene3"/>
      <w:lvlText w:val="%1.%2.%3"/>
      <w:lvlJc w:val="left"/>
      <w:pPr>
        <w:tabs>
          <w:tab w:val="num" w:pos="510"/>
        </w:tabs>
        <w:ind w:left="510" w:hanging="510"/>
      </w:pPr>
      <w:rPr>
        <w:rFonts w:ascii="Arial" w:hAnsi="Arial" w:hint="default"/>
        <w:sz w:val="20"/>
      </w:rPr>
    </w:lvl>
    <w:lvl w:ilvl="3">
      <w:start w:val="1"/>
      <w:numFmt w:val="none"/>
      <w:pStyle w:val="TWProspektEbene4"/>
      <w:lvlText w:val=""/>
      <w:lvlJc w:val="left"/>
      <w:pPr>
        <w:tabs>
          <w:tab w:val="num" w:pos="510"/>
        </w:tabs>
        <w:ind w:left="510" w:hanging="510"/>
      </w:pPr>
      <w:rPr>
        <w:rFonts w:ascii="Arial" w:hAnsi="Arial" w:hint="default"/>
        <w:b w:val="0"/>
        <w:i/>
        <w:color w:val="auto"/>
        <w:sz w:val="20"/>
        <w:u w:val="single"/>
      </w:rPr>
    </w:lvl>
    <w:lvl w:ilvl="4">
      <w:start w:val="1"/>
      <w:numFmt w:val="none"/>
      <w:pStyle w:val="TWProspektEbene5"/>
      <w:lvlText w:val=""/>
      <w:lvlJc w:val="left"/>
      <w:pPr>
        <w:tabs>
          <w:tab w:val="num" w:pos="510"/>
        </w:tabs>
        <w:ind w:left="510" w:hanging="510"/>
      </w:pPr>
      <w:rPr>
        <w:rFonts w:ascii="Arial" w:hAnsi="Arial" w:hint="default"/>
        <w:b w:val="0"/>
        <w:i/>
        <w:color w:val="auto"/>
        <w:sz w:val="20"/>
        <w:u w:val="none"/>
      </w:rPr>
    </w:lvl>
    <w:lvl w:ilvl="5">
      <w:start w:val="1"/>
      <w:numFmt w:val="none"/>
      <w:lvlText w:val=""/>
      <w:lvlJc w:val="left"/>
      <w:pPr>
        <w:tabs>
          <w:tab w:val="num" w:pos="510"/>
        </w:tabs>
        <w:ind w:left="510" w:hanging="510"/>
      </w:pPr>
      <w:rPr>
        <w:rFonts w:hint="default"/>
      </w:rPr>
    </w:lvl>
    <w:lvl w:ilvl="6">
      <w:start w:val="1"/>
      <w:numFmt w:val="none"/>
      <w:lvlText w:val="%7."/>
      <w:lvlJc w:val="left"/>
      <w:pPr>
        <w:tabs>
          <w:tab w:val="num" w:pos="510"/>
        </w:tabs>
        <w:ind w:left="510" w:hanging="510"/>
      </w:pPr>
      <w:rPr>
        <w:rFonts w:hint="default"/>
      </w:rPr>
    </w:lvl>
    <w:lvl w:ilvl="7">
      <w:start w:val="1"/>
      <w:numFmt w:val="none"/>
      <w:lvlText w:val="%8."/>
      <w:lvlJc w:val="left"/>
      <w:pPr>
        <w:tabs>
          <w:tab w:val="num" w:pos="510"/>
        </w:tabs>
        <w:ind w:left="510" w:hanging="510"/>
      </w:pPr>
      <w:rPr>
        <w:rFonts w:hint="default"/>
      </w:rPr>
    </w:lvl>
    <w:lvl w:ilvl="8">
      <w:start w:val="1"/>
      <w:numFmt w:val="none"/>
      <w:lvlText w:val="%9."/>
      <w:lvlJc w:val="left"/>
      <w:pPr>
        <w:tabs>
          <w:tab w:val="num" w:pos="510"/>
        </w:tabs>
        <w:ind w:left="510" w:hanging="510"/>
      </w:pPr>
      <w:rPr>
        <w:rFonts w:hint="default"/>
      </w:rPr>
    </w:lvl>
  </w:abstractNum>
  <w:abstractNum w:abstractNumId="15" w15:restartNumberingAfterBreak="0">
    <w:nsid w:val="0B4D328C"/>
    <w:multiLevelType w:val="multilevel"/>
    <w:tmpl w:val="0407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0F316DF6"/>
    <w:multiLevelType w:val="multilevel"/>
    <w:tmpl w:val="8AC05524"/>
    <w:styleLink w:val="AktuelleListe1"/>
    <w:lvl w:ilvl="0">
      <w:start w:val="1"/>
      <w:numFmt w:val="decimal"/>
      <w:suff w:val="nothing"/>
      <w:lvlText w:val="%1"/>
      <w:lvlJc w:val="left"/>
      <w:pPr>
        <w:ind w:left="0" w:firstLine="0"/>
      </w:pPr>
      <w:rPr>
        <w:rFonts w:ascii="Arial" w:hAnsi="Arial" w:hint="default"/>
        <w:b w:val="0"/>
        <w:bCs w:val="0"/>
        <w:i w:val="0"/>
        <w:iCs w:val="0"/>
        <w:caps w:val="0"/>
        <w:strike w:val="0"/>
        <w:dstrike w:val="0"/>
        <w:outline w:val="0"/>
        <w:shadow w:val="0"/>
        <w:emboss w:val="0"/>
        <w:imprint w:val="0"/>
        <w:vanish w:val="0"/>
        <w:spacing w:val="0"/>
        <w:kern w:val="0"/>
        <w:position w:val="0"/>
        <w:sz w:val="16"/>
        <w:u w:val="none"/>
        <w:effect w:val="none"/>
        <w:vertAlign w:val="baseline"/>
        <w:em w:val="none"/>
        <w14:ligatures w14:val="none"/>
        <w14:numForm w14:val="default"/>
        <w14:numSpacing w14:val="default"/>
        <w14:stylisticSets/>
        <w14:cntxtAlts w14: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015241C"/>
    <w:multiLevelType w:val="multilevel"/>
    <w:tmpl w:val="C84E0BA8"/>
    <w:lvl w:ilvl="0">
      <w:start w:val="1"/>
      <w:numFmt w:val="decimal"/>
      <w:pStyle w:val="TWVertragParteien"/>
      <w:lvlText w:val="%1."/>
      <w:lvlJc w:val="left"/>
      <w:pPr>
        <w:tabs>
          <w:tab w:val="num" w:pos="720"/>
        </w:tabs>
        <w:ind w:left="720" w:hanging="720"/>
      </w:pPr>
      <w:rPr>
        <w:rFonts w:ascii="Arial" w:hAnsi="Arial" w:hint="default"/>
        <w:b w:val="0"/>
        <w:i w:val="0"/>
        <w:sz w:val="21"/>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720"/>
        </w:tabs>
        <w:ind w:left="720" w:hanging="720"/>
      </w:pPr>
      <w:rPr>
        <w:rFonts w:hint="default"/>
      </w:rPr>
    </w:lvl>
    <w:lvl w:ilvl="3">
      <w:start w:val="1"/>
      <w:numFmt w:val="decimal"/>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Roman"/>
      <w:lvlText w:val="%6."/>
      <w:lvlJc w:val="left"/>
      <w:pPr>
        <w:tabs>
          <w:tab w:val="num" w:pos="720"/>
        </w:tabs>
        <w:ind w:left="720" w:hanging="720"/>
      </w:pPr>
      <w:rPr>
        <w:rFonts w:hint="default"/>
      </w:rPr>
    </w:lvl>
    <w:lvl w:ilvl="6">
      <w:start w:val="1"/>
      <w:numFmt w:val="decimal"/>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Roman"/>
      <w:lvlText w:val="%9."/>
      <w:lvlJc w:val="left"/>
      <w:pPr>
        <w:tabs>
          <w:tab w:val="num" w:pos="720"/>
        </w:tabs>
        <w:ind w:left="720" w:hanging="720"/>
      </w:pPr>
      <w:rPr>
        <w:rFonts w:hint="default"/>
      </w:rPr>
    </w:lvl>
  </w:abstractNum>
  <w:abstractNum w:abstractNumId="18" w15:restartNumberingAfterBreak="0">
    <w:nsid w:val="1138393B"/>
    <w:multiLevelType w:val="multilevel"/>
    <w:tmpl w:val="2118186E"/>
    <w:lvl w:ilvl="0">
      <w:start w:val="1"/>
      <w:numFmt w:val="decimal"/>
      <w:pStyle w:val="TWRandziffer"/>
      <w:lvlText w:val="%1"/>
      <w:lvlJc w:val="right"/>
      <w:pPr>
        <w:tabs>
          <w:tab w:val="num" w:pos="0"/>
        </w:tabs>
        <w:ind w:left="0" w:hanging="284"/>
      </w:pPr>
      <w:rPr>
        <w:rFonts w:hint="default"/>
        <w:b w:val="0"/>
        <w:sz w:val="16"/>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12B3048E"/>
    <w:multiLevelType w:val="multilevel"/>
    <w:tmpl w:val="CA4A228E"/>
    <w:styleLink w:val="TWBullets"/>
    <w:lvl w:ilvl="0">
      <w:start w:val="1"/>
      <w:numFmt w:val="bullet"/>
      <w:pStyle w:val="TWBullets1"/>
      <w:lvlText w:val=""/>
      <w:lvlJc w:val="left"/>
      <w:pPr>
        <w:tabs>
          <w:tab w:val="num" w:pos="567"/>
        </w:tabs>
        <w:ind w:left="567" w:hanging="567"/>
      </w:pPr>
      <w:rPr>
        <w:rFonts w:ascii="Symbol" w:hAnsi="Symbol" w:hint="default"/>
      </w:rPr>
    </w:lvl>
    <w:lvl w:ilvl="1">
      <w:start w:val="1"/>
      <w:numFmt w:val="bullet"/>
      <w:pStyle w:val="TWBullets2"/>
      <w:lvlText w:val=""/>
      <w:lvlJc w:val="left"/>
      <w:pPr>
        <w:tabs>
          <w:tab w:val="num" w:pos="1134"/>
        </w:tabs>
        <w:ind w:left="1134" w:hanging="567"/>
      </w:pPr>
      <w:rPr>
        <w:rFonts w:ascii="Symbol" w:hAnsi="Symbol" w:hint="default"/>
      </w:rPr>
    </w:lvl>
    <w:lvl w:ilvl="2">
      <w:start w:val="1"/>
      <w:numFmt w:val="bullet"/>
      <w:pStyle w:val="TWBullets3"/>
      <w:lvlText w:val=""/>
      <w:lvlJc w:val="left"/>
      <w:pPr>
        <w:tabs>
          <w:tab w:val="num" w:pos="1701"/>
        </w:tabs>
        <w:ind w:left="1701" w:hanging="567"/>
      </w:pPr>
      <w:rPr>
        <w:rFonts w:ascii="Symbol" w:hAnsi="Symbol" w:hint="default"/>
      </w:rPr>
    </w:lvl>
    <w:lvl w:ilvl="3">
      <w:start w:val="1"/>
      <w:numFmt w:val="bullet"/>
      <w:pStyle w:val="TWBullets4"/>
      <w:lvlText w:val=""/>
      <w:lvlJc w:val="left"/>
      <w:pPr>
        <w:tabs>
          <w:tab w:val="num" w:pos="2268"/>
        </w:tabs>
        <w:ind w:left="2268" w:hanging="567"/>
      </w:pPr>
      <w:rPr>
        <w:rFonts w:ascii="Symbol" w:hAnsi="Symbol" w:hint="default"/>
      </w:rPr>
    </w:lvl>
    <w:lvl w:ilvl="4">
      <w:start w:val="1"/>
      <w:numFmt w:val="bullet"/>
      <w:pStyle w:val="TWBullets5"/>
      <w:lvlText w:val=""/>
      <w:lvlJc w:val="left"/>
      <w:pPr>
        <w:tabs>
          <w:tab w:val="num" w:pos="2835"/>
        </w:tabs>
        <w:ind w:left="2835" w:hanging="567"/>
      </w:pPr>
      <w:rPr>
        <w:rFonts w:ascii="Symbol" w:hAnsi="Symbol" w:hint="default"/>
      </w:rPr>
    </w:lvl>
    <w:lvl w:ilvl="5">
      <w:start w:val="1"/>
      <w:numFmt w:val="bullet"/>
      <w:pStyle w:val="TWBullets6"/>
      <w:lvlText w:val=""/>
      <w:lvlJc w:val="left"/>
      <w:pPr>
        <w:tabs>
          <w:tab w:val="num" w:pos="3402"/>
        </w:tabs>
        <w:ind w:left="3402" w:hanging="567"/>
      </w:pPr>
      <w:rPr>
        <w:rFonts w:ascii="Symbol" w:hAnsi="Symbol" w:hint="default"/>
      </w:rPr>
    </w:lvl>
    <w:lvl w:ilvl="6">
      <w:start w:val="1"/>
      <w:numFmt w:val="bullet"/>
      <w:pStyle w:val="TWBullets7"/>
      <w:lvlText w:val=""/>
      <w:lvlJc w:val="left"/>
      <w:pPr>
        <w:tabs>
          <w:tab w:val="num" w:pos="3969"/>
        </w:tabs>
        <w:ind w:left="3969" w:hanging="567"/>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1E834C69"/>
    <w:multiLevelType w:val="multilevel"/>
    <w:tmpl w:val="C25A6CD2"/>
    <w:styleLink w:val="TWTabellePrambelrechts"/>
    <w:lvl w:ilvl="0">
      <w:start w:val="1"/>
      <w:numFmt w:val="upperLetter"/>
      <w:pStyle w:val="TWTabellePrambelrechts1"/>
      <w:lvlText w:val="(%1)"/>
      <w:lvlJc w:val="left"/>
      <w:pPr>
        <w:tabs>
          <w:tab w:val="num" w:pos="567"/>
        </w:tabs>
        <w:ind w:left="567" w:hanging="567"/>
      </w:pPr>
      <w:rPr>
        <w:rFonts w:hint="default"/>
      </w:rPr>
    </w:lvl>
    <w:lvl w:ilvl="1">
      <w:start w:val="1"/>
      <w:numFmt w:val="decimal"/>
      <w:pStyle w:val="TWTabellePrambelrechts2"/>
      <w:lvlText w:val="(%2)"/>
      <w:lvlJc w:val="left"/>
      <w:pPr>
        <w:tabs>
          <w:tab w:val="num" w:pos="567"/>
        </w:tabs>
        <w:ind w:left="567" w:hanging="567"/>
      </w:pPr>
      <w:rPr>
        <w:rFonts w:hint="default"/>
      </w:rPr>
    </w:lvl>
    <w:lvl w:ilvl="2">
      <w:start w:val="1"/>
      <w:numFmt w:val="lowerLetter"/>
      <w:pStyle w:val="TWTabellePrambelrechts3"/>
      <w:lvlText w:val="(%3)"/>
      <w:lvlJc w:val="left"/>
      <w:pPr>
        <w:tabs>
          <w:tab w:val="num" w:pos="1134"/>
        </w:tabs>
        <w:ind w:left="1134" w:hanging="567"/>
      </w:pPr>
      <w:rPr>
        <w:rFonts w:hint="default"/>
      </w:rPr>
    </w:lvl>
    <w:lvl w:ilvl="3">
      <w:start w:val="1"/>
      <w:numFmt w:val="decimal"/>
      <w:lvlText w:val="(%4)"/>
      <w:lvlJc w:val="left"/>
      <w:pPr>
        <w:tabs>
          <w:tab w:val="num" w:pos="567"/>
        </w:tabs>
        <w:ind w:left="567" w:hanging="567"/>
      </w:pPr>
      <w:rPr>
        <w:rFonts w:hint="default"/>
      </w:rPr>
    </w:lvl>
    <w:lvl w:ilvl="4">
      <w:start w:val="1"/>
      <w:numFmt w:val="lowerLetter"/>
      <w:lvlText w:val="(%5)"/>
      <w:lvlJc w:val="left"/>
      <w:pPr>
        <w:tabs>
          <w:tab w:val="num" w:pos="567"/>
        </w:tabs>
        <w:ind w:left="567" w:hanging="567"/>
      </w:pPr>
      <w:rPr>
        <w:rFonts w:hint="default"/>
      </w:rPr>
    </w:lvl>
    <w:lvl w:ilvl="5">
      <w:start w:val="1"/>
      <w:numFmt w:val="lowerRoman"/>
      <w:lvlText w:val="(%6)"/>
      <w:lvlJc w:val="lef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left"/>
      <w:pPr>
        <w:tabs>
          <w:tab w:val="num" w:pos="567"/>
        </w:tabs>
        <w:ind w:left="567" w:hanging="567"/>
      </w:pPr>
      <w:rPr>
        <w:rFonts w:hint="default"/>
      </w:rPr>
    </w:lvl>
  </w:abstractNum>
  <w:abstractNum w:abstractNumId="21" w15:restartNumberingAfterBreak="0">
    <w:nsid w:val="223B60FB"/>
    <w:multiLevelType w:val="multilevel"/>
    <w:tmpl w:val="90F233EC"/>
    <w:styleLink w:val="TWTabellerechts"/>
    <w:lvl w:ilvl="0">
      <w:start w:val="1"/>
      <w:numFmt w:val="decimal"/>
      <w:pStyle w:val="TWTabellerechts1"/>
      <w:lvlText w:val="%1."/>
      <w:lvlJc w:val="left"/>
      <w:pPr>
        <w:tabs>
          <w:tab w:val="num" w:pos="567"/>
        </w:tabs>
        <w:ind w:left="567" w:hanging="567"/>
      </w:pPr>
      <w:rPr>
        <w:rFonts w:ascii="Arial" w:hAnsi="Arial" w:hint="default"/>
        <w:b/>
        <w:i w:val="0"/>
        <w:sz w:val="21"/>
      </w:rPr>
    </w:lvl>
    <w:lvl w:ilvl="1">
      <w:start w:val="1"/>
      <w:numFmt w:val="decimal"/>
      <w:pStyle w:val="TWTabellerechts2"/>
      <w:lvlText w:val="%1.%2"/>
      <w:lvlJc w:val="left"/>
      <w:pPr>
        <w:tabs>
          <w:tab w:val="num" w:pos="567"/>
        </w:tabs>
        <w:ind w:left="567" w:hanging="567"/>
      </w:pPr>
      <w:rPr>
        <w:rFonts w:ascii="Arial" w:hAnsi="Arial" w:hint="default"/>
        <w:sz w:val="21"/>
      </w:rPr>
    </w:lvl>
    <w:lvl w:ilvl="2">
      <w:start w:val="1"/>
      <w:numFmt w:val="lowerLetter"/>
      <w:pStyle w:val="TWTabellerechts3"/>
      <w:lvlText w:val="(%3)"/>
      <w:lvlJc w:val="left"/>
      <w:pPr>
        <w:tabs>
          <w:tab w:val="num" w:pos="1134"/>
        </w:tabs>
        <w:ind w:left="1134" w:hanging="567"/>
      </w:pPr>
      <w:rPr>
        <w:rFonts w:ascii="Arial" w:hAnsi="Arial" w:hint="default"/>
        <w:sz w:val="21"/>
      </w:rPr>
    </w:lvl>
    <w:lvl w:ilvl="3">
      <w:start w:val="1"/>
      <w:numFmt w:val="lowerRoman"/>
      <w:pStyle w:val="TWTabellerechts4"/>
      <w:lvlText w:val="(%4)"/>
      <w:lvlJc w:val="left"/>
      <w:pPr>
        <w:tabs>
          <w:tab w:val="num" w:pos="1134"/>
        </w:tabs>
        <w:ind w:left="1134" w:hanging="567"/>
      </w:pPr>
      <w:rPr>
        <w:rFonts w:ascii="Arial" w:hAnsi="Arial" w:hint="default"/>
        <w:sz w:val="21"/>
      </w:rPr>
    </w:lvl>
    <w:lvl w:ilvl="4">
      <w:start w:val="1"/>
      <w:numFmt w:val="upperLetter"/>
      <w:pStyle w:val="TWTabellerechts5"/>
      <w:lvlText w:val="(%5)"/>
      <w:lvlJc w:val="left"/>
      <w:pPr>
        <w:tabs>
          <w:tab w:val="num" w:pos="1134"/>
        </w:tabs>
        <w:ind w:left="1134" w:hanging="567"/>
      </w:pPr>
      <w:rPr>
        <w:rFonts w:ascii="Arial" w:hAnsi="Arial" w:hint="default"/>
        <w:sz w:val="21"/>
      </w:rPr>
    </w:lvl>
    <w:lvl w:ilvl="5">
      <w:start w:val="1"/>
      <w:numFmt w:val="upperRoman"/>
      <w:pStyle w:val="TWTabellerechts6"/>
      <w:lvlText w:val="(%6)"/>
      <w:lvlJc w:val="left"/>
      <w:pPr>
        <w:tabs>
          <w:tab w:val="num" w:pos="1134"/>
        </w:tabs>
        <w:ind w:left="1134" w:hanging="567"/>
      </w:pPr>
      <w:rPr>
        <w:rFonts w:ascii="Arial" w:hAnsi="Arial" w:hint="default"/>
        <w:sz w:val="21"/>
      </w:rPr>
    </w:lvl>
    <w:lvl w:ilvl="6">
      <w:start w:val="1"/>
      <w:numFmt w:val="lowerLetter"/>
      <w:pStyle w:val="TWTabellerechts7"/>
      <w:lvlText w:val="%7."/>
      <w:lvlJc w:val="left"/>
      <w:pPr>
        <w:tabs>
          <w:tab w:val="num" w:pos="1134"/>
        </w:tabs>
        <w:ind w:left="1134" w:hanging="567"/>
      </w:pPr>
      <w:rPr>
        <w:rFonts w:ascii="Arial" w:hAnsi="Arial" w:hint="default"/>
        <w:sz w:val="21"/>
      </w:rPr>
    </w:lvl>
    <w:lvl w:ilvl="7">
      <w:start w:val="1"/>
      <w:numFmt w:val="lowerRoman"/>
      <w:lvlText w:val="%8."/>
      <w:lvlJc w:val="left"/>
      <w:pPr>
        <w:ind w:left="1134" w:hanging="567"/>
      </w:pPr>
      <w:rPr>
        <w:rFonts w:hint="default"/>
      </w:rPr>
    </w:lvl>
    <w:lvl w:ilvl="8">
      <w:start w:val="1"/>
      <w:numFmt w:val="upperLetter"/>
      <w:lvlText w:val="%9."/>
      <w:lvlJc w:val="left"/>
      <w:pPr>
        <w:ind w:left="1134" w:hanging="567"/>
      </w:pPr>
      <w:rPr>
        <w:rFonts w:hint="default"/>
      </w:rPr>
    </w:lvl>
  </w:abstractNum>
  <w:abstractNum w:abstractNumId="22" w15:restartNumberingAfterBreak="0">
    <w:nsid w:val="28877B26"/>
    <w:multiLevelType w:val="hybridMultilevel"/>
    <w:tmpl w:val="92E616DA"/>
    <w:lvl w:ilvl="0" w:tplc="285A84F0">
      <w:start w:val="1"/>
      <w:numFmt w:val="decimal"/>
      <w:pStyle w:val="TWTabelleParteienlinks"/>
      <w:lvlText w:val="%1."/>
      <w:lvlJc w:val="left"/>
      <w:pPr>
        <w:tabs>
          <w:tab w:val="num" w:pos="567"/>
        </w:tabs>
        <w:ind w:left="567" w:hanging="56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2B3256AA"/>
    <w:multiLevelType w:val="multilevel"/>
    <w:tmpl w:val="92D6AEBE"/>
    <w:numStyleLink w:val="TWPatAntragsgliederung"/>
  </w:abstractNum>
  <w:abstractNum w:abstractNumId="24" w15:restartNumberingAfterBreak="0">
    <w:nsid w:val="356A503C"/>
    <w:multiLevelType w:val="multilevel"/>
    <w:tmpl w:val="0407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690673D"/>
    <w:multiLevelType w:val="multilevel"/>
    <w:tmpl w:val="04070023"/>
    <w:styleLink w:val="ArticleSection"/>
    <w:lvl w:ilvl="0">
      <w:start w:val="1"/>
      <w:numFmt w:val="upperRoman"/>
      <w:pStyle w:val="Heading1"/>
      <w:lvlText w:val="Artikel %1."/>
      <w:lvlJc w:val="left"/>
      <w:pPr>
        <w:ind w:left="0" w:firstLine="0"/>
      </w:pPr>
    </w:lvl>
    <w:lvl w:ilvl="1">
      <w:start w:val="1"/>
      <w:numFmt w:val="decimalZero"/>
      <w:pStyle w:val="Heading2"/>
      <w:isLgl/>
      <w:lvlText w:val="Abschnitt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6" w15:restartNumberingAfterBreak="0">
    <w:nsid w:val="426D0E2E"/>
    <w:multiLevelType w:val="hybridMultilevel"/>
    <w:tmpl w:val="4F50185C"/>
    <w:lvl w:ilvl="0" w:tplc="0E982F98">
      <w:start w:val="1"/>
      <w:numFmt w:val="bullet"/>
      <w:pStyle w:val="TWProspektStichpunkte"/>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34F722E"/>
    <w:multiLevelType w:val="multilevel"/>
    <w:tmpl w:val="00702D7A"/>
    <w:numStyleLink w:val="TWPatBullet"/>
  </w:abstractNum>
  <w:abstractNum w:abstractNumId="28" w15:restartNumberingAfterBreak="0">
    <w:nsid w:val="437D4F65"/>
    <w:multiLevelType w:val="multilevel"/>
    <w:tmpl w:val="FD7C2F10"/>
    <w:styleLink w:val="TWSchriftsatz"/>
    <w:lvl w:ilvl="0">
      <w:start w:val="1"/>
      <w:numFmt w:val="upperLetter"/>
      <w:lvlRestart w:val="0"/>
      <w:pStyle w:val="TWSchriftsatz1"/>
      <w:suff w:val="nothing"/>
      <w:lvlText w:val="%1."/>
      <w:lvlJc w:val="left"/>
      <w:pPr>
        <w:ind w:left="0" w:firstLine="0"/>
      </w:pPr>
      <w:rPr>
        <w:rFonts w:ascii="Arial" w:hAnsi="Arial" w:hint="default"/>
        <w:b/>
        <w:sz w:val="21"/>
      </w:rPr>
    </w:lvl>
    <w:lvl w:ilvl="1">
      <w:start w:val="1"/>
      <w:numFmt w:val="upperRoman"/>
      <w:pStyle w:val="TWSchriftsatz2"/>
      <w:lvlText w:val="%2."/>
      <w:lvlJc w:val="left"/>
      <w:pPr>
        <w:tabs>
          <w:tab w:val="num" w:pos="567"/>
        </w:tabs>
        <w:ind w:left="567" w:hanging="567"/>
      </w:pPr>
      <w:rPr>
        <w:rFonts w:ascii="Arial Fett" w:hAnsi="Arial Fett" w:hint="default"/>
        <w:b/>
        <w:i w:val="0"/>
        <w:sz w:val="21"/>
      </w:rPr>
    </w:lvl>
    <w:lvl w:ilvl="2">
      <w:start w:val="1"/>
      <w:numFmt w:val="ordinal"/>
      <w:pStyle w:val="TWSchriftsatz3"/>
      <w:lvlText w:val="%3"/>
      <w:lvlJc w:val="left"/>
      <w:pPr>
        <w:tabs>
          <w:tab w:val="num" w:pos="567"/>
        </w:tabs>
        <w:ind w:left="567" w:hanging="567"/>
      </w:pPr>
      <w:rPr>
        <w:rFonts w:ascii="Arial" w:hAnsi="Arial" w:hint="default"/>
        <w:b w:val="0"/>
        <w:i w:val="0"/>
        <w:sz w:val="21"/>
      </w:rPr>
    </w:lvl>
    <w:lvl w:ilvl="3">
      <w:start w:val="1"/>
      <w:numFmt w:val="lowerLetter"/>
      <w:pStyle w:val="TWSchriftsatz4"/>
      <w:lvlText w:val="%4)"/>
      <w:lvlJc w:val="left"/>
      <w:pPr>
        <w:tabs>
          <w:tab w:val="num" w:pos="1134"/>
        </w:tabs>
        <w:ind w:left="1134" w:hanging="567"/>
      </w:pPr>
      <w:rPr>
        <w:rFonts w:ascii="Arial" w:hAnsi="Arial" w:hint="default"/>
        <w:b w:val="0"/>
        <w:i w:val="0"/>
        <w:sz w:val="21"/>
      </w:rPr>
    </w:lvl>
    <w:lvl w:ilvl="4">
      <w:start w:val="27"/>
      <w:numFmt w:val="lowerLetter"/>
      <w:pStyle w:val="TWSchriftsatz5"/>
      <w:lvlText w:val="%5)"/>
      <w:lvlJc w:val="left"/>
      <w:pPr>
        <w:tabs>
          <w:tab w:val="num" w:pos="1701"/>
        </w:tabs>
        <w:ind w:left="1701" w:hanging="567"/>
      </w:pPr>
      <w:rPr>
        <w:rFonts w:ascii="Arial" w:hAnsi="Arial" w:hint="default"/>
        <w:b w:val="0"/>
        <w:i w:val="0"/>
        <w:sz w:val="21"/>
      </w:rPr>
    </w:lvl>
    <w:lvl w:ilvl="5">
      <w:start w:val="1"/>
      <w:numFmt w:val="decimal"/>
      <w:pStyle w:val="TWSchriftsatz6"/>
      <w:lvlText w:val="(%6)"/>
      <w:lvlJc w:val="left"/>
      <w:pPr>
        <w:tabs>
          <w:tab w:val="num" w:pos="2268"/>
        </w:tabs>
        <w:ind w:left="2268" w:hanging="567"/>
      </w:pPr>
      <w:rPr>
        <w:rFonts w:ascii="Arial" w:hAnsi="Arial" w:hint="default"/>
        <w:b w:val="0"/>
        <w:i w:val="0"/>
        <w:sz w:val="21"/>
      </w:rPr>
    </w:lvl>
    <w:lvl w:ilvl="6">
      <w:start w:val="1"/>
      <w:numFmt w:val="lowerLetter"/>
      <w:pStyle w:val="TWSchriftsatz7"/>
      <w:lvlText w:val="(%7)"/>
      <w:lvlJc w:val="left"/>
      <w:pPr>
        <w:tabs>
          <w:tab w:val="num" w:pos="2835"/>
        </w:tabs>
        <w:ind w:left="2835" w:hanging="567"/>
      </w:pPr>
      <w:rPr>
        <w:rFonts w:ascii="Arial" w:hAnsi="Arial" w:hint="default"/>
        <w:b w:val="0"/>
        <w:i w:val="0"/>
        <w:sz w:val="21"/>
      </w:rPr>
    </w:lvl>
    <w:lvl w:ilvl="7">
      <w:start w:val="27"/>
      <w:numFmt w:val="lowerLetter"/>
      <w:pStyle w:val="TWSchriftsatz8"/>
      <w:lvlText w:val="(%8)"/>
      <w:lvlJc w:val="left"/>
      <w:pPr>
        <w:tabs>
          <w:tab w:val="num" w:pos="3402"/>
        </w:tabs>
        <w:ind w:left="3402" w:hanging="567"/>
      </w:pPr>
      <w:rPr>
        <w:rFonts w:ascii="Arial" w:hAnsi="Arial" w:hint="default"/>
        <w:b w:val="0"/>
        <w:i w:val="0"/>
        <w:sz w:val="21"/>
      </w:rPr>
    </w:lvl>
    <w:lvl w:ilvl="8">
      <w:start w:val="1"/>
      <w:numFmt w:val="none"/>
      <w:lvlText w:val=""/>
      <w:lvlJc w:val="left"/>
      <w:pPr>
        <w:ind w:left="5040" w:hanging="720"/>
      </w:pPr>
      <w:rPr>
        <w:rFonts w:hint="default"/>
      </w:rPr>
    </w:lvl>
  </w:abstractNum>
  <w:abstractNum w:abstractNumId="29" w15:restartNumberingAfterBreak="0">
    <w:nsid w:val="4CE65C7A"/>
    <w:multiLevelType w:val="multilevel"/>
    <w:tmpl w:val="90F233EC"/>
    <w:numStyleLink w:val="TWTabellerechts"/>
  </w:abstractNum>
  <w:abstractNum w:abstractNumId="30" w15:restartNumberingAfterBreak="0">
    <w:nsid w:val="539C4B5E"/>
    <w:multiLevelType w:val="hybridMultilevel"/>
    <w:tmpl w:val="E618A736"/>
    <w:lvl w:ilvl="0" w:tplc="319A3FD0">
      <w:start w:val="1"/>
      <w:numFmt w:val="bullet"/>
      <w:pStyle w:val="TWPatAntragBullet12"/>
      <w:lvlText w:val="-"/>
      <w:lvlJc w:val="left"/>
      <w:pPr>
        <w:tabs>
          <w:tab w:val="num" w:pos="1701"/>
        </w:tabs>
        <w:ind w:left="1701" w:hanging="283"/>
      </w:pPr>
      <w:rPr>
        <w:rFonts w:ascii="Arial" w:hAnsi="Aria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1" w15:restartNumberingAfterBreak="0">
    <w:nsid w:val="553D5FD1"/>
    <w:multiLevelType w:val="multilevel"/>
    <w:tmpl w:val="CC6CC8DA"/>
    <w:styleLink w:val="TWNummerierung"/>
    <w:lvl w:ilvl="0">
      <w:start w:val="1"/>
      <w:numFmt w:val="decimal"/>
      <w:pStyle w:val="TWNummerierung1"/>
      <w:lvlText w:val="%1."/>
      <w:lvlJc w:val="left"/>
      <w:pPr>
        <w:tabs>
          <w:tab w:val="num" w:pos="567"/>
        </w:tabs>
        <w:ind w:left="567" w:hanging="567"/>
      </w:pPr>
      <w:rPr>
        <w:rFonts w:ascii="Arial Fett" w:hAnsi="Arial Fett" w:hint="default"/>
        <w:b/>
        <w:i w:val="0"/>
        <w:sz w:val="21"/>
      </w:rPr>
    </w:lvl>
    <w:lvl w:ilvl="1">
      <w:start w:val="1"/>
      <w:numFmt w:val="decimal"/>
      <w:pStyle w:val="TWNummerierung2"/>
      <w:lvlText w:val="%1.%2"/>
      <w:lvlJc w:val="left"/>
      <w:pPr>
        <w:tabs>
          <w:tab w:val="num" w:pos="567"/>
        </w:tabs>
        <w:ind w:left="567" w:hanging="567"/>
      </w:pPr>
      <w:rPr>
        <w:rFonts w:ascii="Arial" w:hAnsi="Arial" w:hint="default"/>
        <w:b w:val="0"/>
        <w:i w:val="0"/>
        <w:sz w:val="21"/>
      </w:rPr>
    </w:lvl>
    <w:lvl w:ilvl="2">
      <w:start w:val="1"/>
      <w:numFmt w:val="lowerLetter"/>
      <w:pStyle w:val="TWNummerierung3"/>
      <w:lvlText w:val="(%3)"/>
      <w:lvlJc w:val="left"/>
      <w:pPr>
        <w:tabs>
          <w:tab w:val="num" w:pos="1134"/>
        </w:tabs>
        <w:ind w:left="1134" w:hanging="567"/>
      </w:pPr>
      <w:rPr>
        <w:rFonts w:ascii="Arial" w:hAnsi="Arial" w:hint="default"/>
        <w:b w:val="0"/>
        <w:i w:val="0"/>
        <w:sz w:val="21"/>
      </w:rPr>
    </w:lvl>
    <w:lvl w:ilvl="3">
      <w:start w:val="1"/>
      <w:numFmt w:val="lowerRoman"/>
      <w:pStyle w:val="TWNummerierung4"/>
      <w:lvlText w:val="(%4)"/>
      <w:lvlJc w:val="left"/>
      <w:pPr>
        <w:tabs>
          <w:tab w:val="num" w:pos="1701"/>
        </w:tabs>
        <w:ind w:left="1701" w:hanging="567"/>
      </w:pPr>
      <w:rPr>
        <w:rFonts w:ascii="Arial" w:hAnsi="Arial" w:hint="default"/>
        <w:b w:val="0"/>
        <w:i w:val="0"/>
        <w:sz w:val="21"/>
      </w:rPr>
    </w:lvl>
    <w:lvl w:ilvl="4">
      <w:start w:val="1"/>
      <w:numFmt w:val="upperLetter"/>
      <w:pStyle w:val="TWNummerierung5"/>
      <w:lvlText w:val="(%5)"/>
      <w:lvlJc w:val="left"/>
      <w:pPr>
        <w:tabs>
          <w:tab w:val="num" w:pos="2268"/>
        </w:tabs>
        <w:ind w:left="2268" w:hanging="567"/>
      </w:pPr>
      <w:rPr>
        <w:rFonts w:ascii="Arial" w:hAnsi="Arial" w:hint="default"/>
        <w:b w:val="0"/>
        <w:i w:val="0"/>
        <w:sz w:val="21"/>
      </w:rPr>
    </w:lvl>
    <w:lvl w:ilvl="5">
      <w:start w:val="1"/>
      <w:numFmt w:val="upperRoman"/>
      <w:pStyle w:val="TWNummerierung6"/>
      <w:lvlText w:val="(%6)"/>
      <w:lvlJc w:val="left"/>
      <w:pPr>
        <w:tabs>
          <w:tab w:val="num" w:pos="2835"/>
        </w:tabs>
        <w:ind w:left="2835" w:hanging="567"/>
      </w:pPr>
      <w:rPr>
        <w:rFonts w:ascii="Arial" w:hAnsi="Arial" w:hint="default"/>
        <w:b w:val="0"/>
        <w:i w:val="0"/>
        <w:sz w:val="21"/>
      </w:rPr>
    </w:lvl>
    <w:lvl w:ilvl="6">
      <w:start w:val="1"/>
      <w:numFmt w:val="lowerLetter"/>
      <w:pStyle w:val="TWNummerierung7"/>
      <w:lvlText w:val="%7."/>
      <w:lvlJc w:val="left"/>
      <w:pPr>
        <w:tabs>
          <w:tab w:val="num" w:pos="3402"/>
        </w:tabs>
        <w:ind w:left="3402" w:hanging="567"/>
      </w:pPr>
      <w:rPr>
        <w:rFonts w:ascii="Arial" w:hAnsi="Arial" w:hint="default"/>
        <w:b w:val="0"/>
        <w:i w:val="0"/>
        <w:sz w:val="21"/>
      </w:rPr>
    </w:lvl>
    <w:lvl w:ilvl="7">
      <w:start w:val="1"/>
      <w:numFmt w:val="none"/>
      <w:lvlText w:val=""/>
      <w:lvlJc w:val="left"/>
      <w:pPr>
        <w:ind w:left="5040" w:hanging="720"/>
      </w:pPr>
      <w:rPr>
        <w:rFonts w:hint="default"/>
      </w:rPr>
    </w:lvl>
    <w:lvl w:ilvl="8">
      <w:start w:val="1"/>
      <w:numFmt w:val="none"/>
      <w:lvlText w:val=""/>
      <w:lvlJc w:val="left"/>
      <w:pPr>
        <w:ind w:left="5760" w:hanging="720"/>
      </w:pPr>
      <w:rPr>
        <w:rFonts w:hint="default"/>
      </w:rPr>
    </w:lvl>
  </w:abstractNum>
  <w:abstractNum w:abstractNumId="32" w15:restartNumberingAfterBreak="0">
    <w:nsid w:val="57E22EA4"/>
    <w:multiLevelType w:val="multilevel"/>
    <w:tmpl w:val="35DA471C"/>
    <w:numStyleLink w:val="TWTabellelinks"/>
  </w:abstractNum>
  <w:abstractNum w:abstractNumId="33" w15:restartNumberingAfterBreak="0">
    <w:nsid w:val="5BC67A1F"/>
    <w:multiLevelType w:val="hybridMultilevel"/>
    <w:tmpl w:val="5A140B48"/>
    <w:lvl w:ilvl="0" w:tplc="4F26EAB2">
      <w:start w:val="1"/>
      <w:numFmt w:val="decimal"/>
      <w:pStyle w:val="TWMarginalielinks"/>
      <w:suff w:val="nothing"/>
      <w:lvlText w:val="%1"/>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tentative="1">
      <w:start w:val="1"/>
      <w:numFmt w:val="lowerLetter"/>
      <w:lvlText w:val="%2."/>
      <w:lvlJc w:val="left"/>
      <w:pPr>
        <w:ind w:left="1015" w:hanging="360"/>
      </w:pPr>
    </w:lvl>
    <w:lvl w:ilvl="2" w:tplc="0407001B" w:tentative="1">
      <w:start w:val="1"/>
      <w:numFmt w:val="lowerRoman"/>
      <w:lvlText w:val="%3."/>
      <w:lvlJc w:val="right"/>
      <w:pPr>
        <w:ind w:left="1735" w:hanging="180"/>
      </w:pPr>
    </w:lvl>
    <w:lvl w:ilvl="3" w:tplc="0407000F" w:tentative="1">
      <w:start w:val="1"/>
      <w:numFmt w:val="decimal"/>
      <w:lvlText w:val="%4."/>
      <w:lvlJc w:val="left"/>
      <w:pPr>
        <w:ind w:left="2455" w:hanging="360"/>
      </w:pPr>
    </w:lvl>
    <w:lvl w:ilvl="4" w:tplc="04070019" w:tentative="1">
      <w:start w:val="1"/>
      <w:numFmt w:val="lowerLetter"/>
      <w:lvlText w:val="%5."/>
      <w:lvlJc w:val="left"/>
      <w:pPr>
        <w:ind w:left="3175" w:hanging="360"/>
      </w:pPr>
    </w:lvl>
    <w:lvl w:ilvl="5" w:tplc="0407001B" w:tentative="1">
      <w:start w:val="1"/>
      <w:numFmt w:val="lowerRoman"/>
      <w:lvlText w:val="%6."/>
      <w:lvlJc w:val="right"/>
      <w:pPr>
        <w:ind w:left="3895" w:hanging="180"/>
      </w:pPr>
    </w:lvl>
    <w:lvl w:ilvl="6" w:tplc="0407000F" w:tentative="1">
      <w:start w:val="1"/>
      <w:numFmt w:val="decimal"/>
      <w:lvlText w:val="%7."/>
      <w:lvlJc w:val="left"/>
      <w:pPr>
        <w:ind w:left="4615" w:hanging="360"/>
      </w:pPr>
    </w:lvl>
    <w:lvl w:ilvl="7" w:tplc="04070019" w:tentative="1">
      <w:start w:val="1"/>
      <w:numFmt w:val="lowerLetter"/>
      <w:lvlText w:val="%8."/>
      <w:lvlJc w:val="left"/>
      <w:pPr>
        <w:ind w:left="5335" w:hanging="360"/>
      </w:pPr>
    </w:lvl>
    <w:lvl w:ilvl="8" w:tplc="0407001B" w:tentative="1">
      <w:start w:val="1"/>
      <w:numFmt w:val="lowerRoman"/>
      <w:lvlText w:val="%9."/>
      <w:lvlJc w:val="right"/>
      <w:pPr>
        <w:ind w:left="6055" w:hanging="180"/>
      </w:pPr>
    </w:lvl>
  </w:abstractNum>
  <w:abstractNum w:abstractNumId="34" w15:restartNumberingAfterBreak="0">
    <w:nsid w:val="5BD8274F"/>
    <w:multiLevelType w:val="multilevel"/>
    <w:tmpl w:val="CC6CC8DA"/>
    <w:numStyleLink w:val="TWNummerierung"/>
  </w:abstractNum>
  <w:abstractNum w:abstractNumId="35" w15:restartNumberingAfterBreak="0">
    <w:nsid w:val="632840C7"/>
    <w:multiLevelType w:val="multilevel"/>
    <w:tmpl w:val="5050A1A0"/>
    <w:lvl w:ilvl="0">
      <w:start w:val="1"/>
      <w:numFmt w:val="decimal"/>
      <w:pStyle w:val="Num123"/>
      <w:lvlText w:val="%1."/>
      <w:lvlJc w:val="left"/>
      <w:pPr>
        <w:tabs>
          <w:tab w:val="num" w:pos="1418"/>
        </w:tabs>
        <w:ind w:left="1418" w:hanging="624"/>
      </w:pPr>
      <w:rPr>
        <w:rFonts w:ascii="Arial" w:hAnsi="Arial" w:cs="Times New Roman" w:hint="default"/>
      </w:rPr>
    </w:lvl>
    <w:lvl w:ilvl="1">
      <w:start w:val="1"/>
      <w:numFmt w:val="lowerLetter"/>
      <w:lvlRestart w:val="0"/>
      <w:pStyle w:val="Numabc"/>
      <w:lvlText w:val="%2)"/>
      <w:lvlJc w:val="left"/>
      <w:pPr>
        <w:tabs>
          <w:tab w:val="num" w:pos="1418"/>
        </w:tabs>
        <w:ind w:left="1418" w:hanging="624"/>
      </w:pPr>
      <w:rPr>
        <w:rFonts w:ascii="Arial" w:hAnsi="Arial" w:cs="Times New Roman" w:hint="default"/>
      </w:rPr>
    </w:lvl>
    <w:lvl w:ilvl="2">
      <w:start w:val="27"/>
      <w:numFmt w:val="lowerLetter"/>
      <w:pStyle w:val="Numaa"/>
      <w:lvlText w:val="%3)"/>
      <w:lvlJc w:val="left"/>
      <w:pPr>
        <w:tabs>
          <w:tab w:val="num" w:pos="1418"/>
        </w:tabs>
        <w:ind w:left="1418" w:hanging="624"/>
      </w:pPr>
      <w:rPr>
        <w:rFonts w:ascii="Arial" w:hAnsi="Arial" w:cs="Times New Roman" w:hint="default"/>
      </w:rPr>
    </w:lvl>
    <w:lvl w:ilvl="3">
      <w:start w:val="1"/>
      <w:numFmt w:val="bullet"/>
      <w:lvlRestart w:val="0"/>
      <w:lvlText w:val=""/>
      <w:lvlJc w:val="left"/>
      <w:pPr>
        <w:tabs>
          <w:tab w:val="num" w:pos="1418"/>
        </w:tabs>
        <w:ind w:left="1418" w:hanging="624"/>
      </w:pPr>
      <w:rPr>
        <w:rFonts w:ascii="Wingdings" w:hAnsi="Wingdings" w:hint="default"/>
      </w:rPr>
    </w:lvl>
    <w:lvl w:ilvl="4">
      <w:start w:val="1"/>
      <w:numFmt w:val="bullet"/>
      <w:lvlRestart w:val="0"/>
      <w:lvlText w:val="–"/>
      <w:lvlJc w:val="left"/>
      <w:pPr>
        <w:tabs>
          <w:tab w:val="num" w:pos="1418"/>
        </w:tabs>
        <w:ind w:left="1418" w:hanging="624"/>
      </w:pPr>
      <w:rPr>
        <w:rFonts w:ascii="Arial" w:hAnsi="Arial" w:cs="Times New Roman" w:hint="default"/>
      </w:rPr>
    </w:lvl>
    <w:lvl w:ilvl="5">
      <w:start w:val="1"/>
      <w:numFmt w:val="bullet"/>
      <w:lvlRestart w:val="0"/>
      <w:lvlText w:val=""/>
      <w:lvlJc w:val="left"/>
      <w:pPr>
        <w:tabs>
          <w:tab w:val="num" w:pos="1588"/>
        </w:tabs>
        <w:ind w:left="1588" w:hanging="624"/>
      </w:pPr>
      <w:rPr>
        <w:rFonts w:ascii="Wingdings" w:hAnsi="Wingdings" w:hint="default"/>
      </w:rPr>
    </w:lvl>
    <w:lvl w:ilvl="6">
      <w:start w:val="1"/>
      <w:numFmt w:val="bullet"/>
      <w:lvlRestart w:val="0"/>
      <w:lvlText w:val="–"/>
      <w:lvlJc w:val="left"/>
      <w:pPr>
        <w:tabs>
          <w:tab w:val="num" w:pos="1588"/>
        </w:tabs>
        <w:ind w:left="1588" w:hanging="624"/>
      </w:pPr>
      <w:rPr>
        <w:rFonts w:ascii="Arial" w:hAnsi="Arial" w:cs="Times New Roman" w:hint="default"/>
      </w:rPr>
    </w:lvl>
    <w:lvl w:ilvl="7">
      <w:start w:val="1"/>
      <w:numFmt w:val="bullet"/>
      <w:lvlRestart w:val="0"/>
      <w:lvlText w:val="–"/>
      <w:lvlJc w:val="left"/>
      <w:pPr>
        <w:tabs>
          <w:tab w:val="num" w:pos="1758"/>
        </w:tabs>
        <w:ind w:left="1758" w:hanging="624"/>
      </w:pPr>
      <w:rPr>
        <w:rFonts w:ascii="Arial" w:hAnsi="Arial" w:cs="Times New Roman" w:hint="default"/>
      </w:rPr>
    </w:lvl>
    <w:lvl w:ilvl="8">
      <w:start w:val="1"/>
      <w:numFmt w:val="bullet"/>
      <w:lvlRestart w:val="0"/>
      <w:lvlText w:val=""/>
      <w:lvlJc w:val="left"/>
      <w:pPr>
        <w:tabs>
          <w:tab w:val="num" w:pos="1758"/>
        </w:tabs>
        <w:ind w:left="1758" w:hanging="624"/>
      </w:pPr>
      <w:rPr>
        <w:rFonts w:ascii="Wingdings" w:hAnsi="Wingdings" w:hint="default"/>
      </w:rPr>
    </w:lvl>
  </w:abstractNum>
  <w:abstractNum w:abstractNumId="36" w15:restartNumberingAfterBreak="0">
    <w:nsid w:val="63DA6EC4"/>
    <w:multiLevelType w:val="multilevel"/>
    <w:tmpl w:val="C25A6CD2"/>
    <w:numStyleLink w:val="TWTabellePrambelrechts"/>
  </w:abstractNum>
  <w:abstractNum w:abstractNumId="37" w15:restartNumberingAfterBreak="0">
    <w:nsid w:val="6578694C"/>
    <w:multiLevelType w:val="multilevel"/>
    <w:tmpl w:val="5694BF88"/>
    <w:styleLink w:val="TWSchriftsatzAntragNummerierung"/>
    <w:lvl w:ilvl="0">
      <w:start w:val="1"/>
      <w:numFmt w:val="decimal"/>
      <w:lvlRestart w:val="0"/>
      <w:pStyle w:val="TWSchriftsatzAntragNummerierung1"/>
      <w:lvlText w:val="%1."/>
      <w:lvlJc w:val="left"/>
      <w:pPr>
        <w:tabs>
          <w:tab w:val="num" w:pos="1134"/>
        </w:tabs>
        <w:ind w:left="1134" w:hanging="567"/>
      </w:pPr>
      <w:rPr>
        <w:rFonts w:ascii="Arial" w:hAnsi="Arial" w:hint="default"/>
        <w:b/>
        <w:sz w:val="21"/>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1440"/>
        </w:tabs>
        <w:ind w:left="1440" w:hanging="720"/>
      </w:pPr>
      <w:rPr>
        <w:rFonts w:hint="default"/>
      </w:rPr>
    </w:lvl>
    <w:lvl w:ilvl="3">
      <w:start w:val="1"/>
      <w:numFmt w:val="decimal"/>
      <w:lvlText w:val="(%4)"/>
      <w:lvlJc w:val="left"/>
      <w:pPr>
        <w:tabs>
          <w:tab w:val="num" w:pos="1440"/>
        </w:tabs>
        <w:ind w:left="1440" w:hanging="720"/>
      </w:pPr>
      <w:rPr>
        <w:rFonts w:hint="default"/>
      </w:rPr>
    </w:lvl>
    <w:lvl w:ilvl="4">
      <w:start w:val="1"/>
      <w:numFmt w:val="lowerLetter"/>
      <w:lvlText w:val="(%5)"/>
      <w:lvlJc w:val="left"/>
      <w:pPr>
        <w:tabs>
          <w:tab w:val="num" w:pos="1440"/>
        </w:tabs>
        <w:ind w:left="1440" w:hanging="720"/>
      </w:pPr>
      <w:rPr>
        <w:rFonts w:hint="default"/>
      </w:rPr>
    </w:lvl>
    <w:lvl w:ilvl="5">
      <w:start w:val="1"/>
      <w:numFmt w:val="lowerRoman"/>
      <w:lvlText w:val="(%6)"/>
      <w:lvlJc w:val="left"/>
      <w:pPr>
        <w:tabs>
          <w:tab w:val="num" w:pos="1440"/>
        </w:tabs>
        <w:ind w:left="1440" w:hanging="720"/>
      </w:pPr>
      <w:rPr>
        <w:rFonts w:hint="default"/>
      </w:rPr>
    </w:lvl>
    <w:lvl w:ilvl="6">
      <w:start w:val="1"/>
      <w:numFmt w:val="decimal"/>
      <w:lvlText w:val="%7."/>
      <w:lvlJc w:val="left"/>
      <w:pPr>
        <w:tabs>
          <w:tab w:val="num" w:pos="1440"/>
        </w:tabs>
        <w:ind w:left="1440" w:hanging="720"/>
      </w:pPr>
      <w:rPr>
        <w:rFonts w:hint="default"/>
      </w:rPr>
    </w:lvl>
    <w:lvl w:ilvl="7">
      <w:start w:val="1"/>
      <w:numFmt w:val="lowerLetter"/>
      <w:lvlText w:val="%8."/>
      <w:lvlJc w:val="left"/>
      <w:pPr>
        <w:tabs>
          <w:tab w:val="num" w:pos="1440"/>
        </w:tabs>
        <w:ind w:left="1440" w:hanging="720"/>
      </w:pPr>
      <w:rPr>
        <w:rFonts w:hint="default"/>
      </w:rPr>
    </w:lvl>
    <w:lvl w:ilvl="8">
      <w:start w:val="1"/>
      <w:numFmt w:val="lowerRoman"/>
      <w:lvlText w:val="%9."/>
      <w:lvlJc w:val="left"/>
      <w:pPr>
        <w:tabs>
          <w:tab w:val="num" w:pos="1440"/>
        </w:tabs>
        <w:ind w:left="1440" w:hanging="720"/>
      </w:pPr>
      <w:rPr>
        <w:rFonts w:hint="default"/>
      </w:rPr>
    </w:lvl>
  </w:abstractNum>
  <w:abstractNum w:abstractNumId="38" w15:restartNumberingAfterBreak="0">
    <w:nsid w:val="65D57368"/>
    <w:multiLevelType w:val="hybridMultilevel"/>
    <w:tmpl w:val="52D8AA72"/>
    <w:lvl w:ilvl="0" w:tplc="6FC2F4AA">
      <w:start w:val="1"/>
      <w:numFmt w:val="decimal"/>
      <w:pStyle w:val="TWTabelleParteienrechts"/>
      <w:lvlText w:val="%1."/>
      <w:lvlJc w:val="left"/>
      <w:pPr>
        <w:tabs>
          <w:tab w:val="num" w:pos="567"/>
        </w:tabs>
        <w:ind w:left="567" w:hanging="56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6D093A24"/>
    <w:multiLevelType w:val="multilevel"/>
    <w:tmpl w:val="00702D7A"/>
    <w:styleLink w:val="TWPatBullet"/>
    <w:lvl w:ilvl="0">
      <w:start w:val="1"/>
      <w:numFmt w:val="upperLetter"/>
      <w:pStyle w:val="TWPatBullet1"/>
      <w:lvlText w:val="(%1)"/>
      <w:lvlJc w:val="left"/>
      <w:pPr>
        <w:tabs>
          <w:tab w:val="num" w:pos="567"/>
        </w:tabs>
        <w:ind w:left="567" w:hanging="567"/>
      </w:pPr>
      <w:rPr>
        <w:rFonts w:hint="default"/>
      </w:rPr>
    </w:lvl>
    <w:lvl w:ilvl="1">
      <w:start w:val="1"/>
      <w:numFmt w:val="decimal"/>
      <w:pStyle w:val="TWPatBullet2"/>
      <w:lvlText w:val="(%2)"/>
      <w:lvlJc w:val="left"/>
      <w:pPr>
        <w:tabs>
          <w:tab w:val="num" w:pos="567"/>
        </w:tabs>
        <w:ind w:left="567" w:hanging="567"/>
      </w:pPr>
      <w:rPr>
        <w:rFonts w:hint="default"/>
      </w:rPr>
    </w:lvl>
    <w:lvl w:ilvl="2">
      <w:start w:val="1"/>
      <w:numFmt w:val="lowerLetter"/>
      <w:pStyle w:val="TWPatBullet3"/>
      <w:lvlText w:val="(%3)"/>
      <w:lvlJc w:val="left"/>
      <w:pPr>
        <w:tabs>
          <w:tab w:val="num" w:pos="1134"/>
        </w:tabs>
        <w:ind w:left="1134" w:hanging="567"/>
      </w:pPr>
      <w:rPr>
        <w:rFonts w:hint="default"/>
      </w:rPr>
    </w:lvl>
    <w:lvl w:ilvl="3">
      <w:start w:val="1"/>
      <w:numFmt w:val="decimal"/>
      <w:pStyle w:val="TWPatBullet4"/>
      <w:lvlText w:val="(%4)"/>
      <w:lvlJc w:val="left"/>
      <w:pPr>
        <w:tabs>
          <w:tab w:val="num" w:pos="567"/>
        </w:tabs>
        <w:ind w:left="567" w:hanging="567"/>
      </w:pPr>
      <w:rPr>
        <w:rFonts w:hint="default"/>
      </w:rPr>
    </w:lvl>
    <w:lvl w:ilvl="4">
      <w:start w:val="1"/>
      <w:numFmt w:val="lowerLetter"/>
      <w:pStyle w:val="TWPatBullet5"/>
      <w:lvlText w:val="(%5)"/>
      <w:lvlJc w:val="left"/>
      <w:pPr>
        <w:tabs>
          <w:tab w:val="num" w:pos="567"/>
        </w:tabs>
        <w:ind w:left="567" w:hanging="567"/>
      </w:pPr>
      <w:rPr>
        <w:rFonts w:hint="default"/>
      </w:rPr>
    </w:lvl>
    <w:lvl w:ilvl="5">
      <w:start w:val="1"/>
      <w:numFmt w:val="lowerRoman"/>
      <w:lvlText w:val="(%6)"/>
      <w:lvlJc w:val="lef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left"/>
      <w:pPr>
        <w:tabs>
          <w:tab w:val="num" w:pos="567"/>
        </w:tabs>
        <w:ind w:left="567" w:hanging="567"/>
      </w:pPr>
      <w:rPr>
        <w:rFonts w:hint="default"/>
      </w:rPr>
    </w:lvl>
  </w:abstractNum>
  <w:abstractNum w:abstractNumId="40" w15:restartNumberingAfterBreak="0">
    <w:nsid w:val="70FB0FE5"/>
    <w:multiLevelType w:val="multilevel"/>
    <w:tmpl w:val="B324DB9E"/>
    <w:styleLink w:val="TWVertragPrambel"/>
    <w:lvl w:ilvl="0">
      <w:start w:val="1"/>
      <w:numFmt w:val="upperLetter"/>
      <w:pStyle w:val="TWVertragPrambel1"/>
      <w:lvlText w:val="(%1)"/>
      <w:lvlJc w:val="left"/>
      <w:pPr>
        <w:tabs>
          <w:tab w:val="num" w:pos="567"/>
        </w:tabs>
        <w:ind w:left="567" w:hanging="567"/>
      </w:pPr>
      <w:rPr>
        <w:rFonts w:hint="default"/>
      </w:rPr>
    </w:lvl>
    <w:lvl w:ilvl="1">
      <w:start w:val="1"/>
      <w:numFmt w:val="decimal"/>
      <w:pStyle w:val="TWVertragPrambel2"/>
      <w:lvlText w:val="(%2)"/>
      <w:lvlJc w:val="left"/>
      <w:pPr>
        <w:tabs>
          <w:tab w:val="num" w:pos="1134"/>
        </w:tabs>
        <w:ind w:left="1134" w:hanging="567"/>
      </w:pPr>
      <w:rPr>
        <w:rFonts w:hint="default"/>
      </w:rPr>
    </w:lvl>
    <w:lvl w:ilvl="2">
      <w:start w:val="1"/>
      <w:numFmt w:val="lowerLetter"/>
      <w:pStyle w:val="TWVertragPrambel3"/>
      <w:lvlText w:val="(%3)"/>
      <w:lvlJc w:val="left"/>
      <w:pPr>
        <w:tabs>
          <w:tab w:val="num" w:pos="1701"/>
        </w:tabs>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71E34F67"/>
    <w:multiLevelType w:val="multilevel"/>
    <w:tmpl w:val="871EF496"/>
    <w:styleLink w:val="TWTabellePrambellinks"/>
    <w:lvl w:ilvl="0">
      <w:start w:val="1"/>
      <w:numFmt w:val="upperLetter"/>
      <w:pStyle w:val="TWTabellePrambellinks1"/>
      <w:lvlText w:val="(%1)"/>
      <w:lvlJc w:val="left"/>
      <w:pPr>
        <w:tabs>
          <w:tab w:val="num" w:pos="567"/>
        </w:tabs>
        <w:ind w:left="567" w:hanging="567"/>
      </w:pPr>
      <w:rPr>
        <w:rFonts w:hint="default"/>
      </w:rPr>
    </w:lvl>
    <w:lvl w:ilvl="1">
      <w:start w:val="1"/>
      <w:numFmt w:val="decimal"/>
      <w:pStyle w:val="TWTabellePrambellinks2"/>
      <w:lvlText w:val="(%2)"/>
      <w:lvlJc w:val="left"/>
      <w:pPr>
        <w:tabs>
          <w:tab w:val="num" w:pos="567"/>
        </w:tabs>
        <w:ind w:left="567" w:hanging="567"/>
      </w:pPr>
      <w:rPr>
        <w:rFonts w:hint="default"/>
      </w:rPr>
    </w:lvl>
    <w:lvl w:ilvl="2">
      <w:start w:val="1"/>
      <w:numFmt w:val="lowerLetter"/>
      <w:pStyle w:val="TWTabellePrambellinks3"/>
      <w:lvlText w:val="(%3)"/>
      <w:lvlJc w:val="left"/>
      <w:pPr>
        <w:tabs>
          <w:tab w:val="num" w:pos="1134"/>
        </w:tabs>
        <w:ind w:left="1134" w:hanging="567"/>
      </w:pPr>
      <w:rPr>
        <w:rFonts w:hint="default"/>
      </w:rPr>
    </w:lvl>
    <w:lvl w:ilvl="3">
      <w:start w:val="1"/>
      <w:numFmt w:val="decimal"/>
      <w:lvlText w:val="(%4)"/>
      <w:lvlJc w:val="left"/>
      <w:pPr>
        <w:tabs>
          <w:tab w:val="num" w:pos="567"/>
        </w:tabs>
        <w:ind w:left="567" w:hanging="567"/>
      </w:pPr>
      <w:rPr>
        <w:rFonts w:hint="default"/>
      </w:rPr>
    </w:lvl>
    <w:lvl w:ilvl="4">
      <w:start w:val="1"/>
      <w:numFmt w:val="lowerLetter"/>
      <w:lvlText w:val="(%5)"/>
      <w:lvlJc w:val="left"/>
      <w:pPr>
        <w:tabs>
          <w:tab w:val="num" w:pos="567"/>
        </w:tabs>
        <w:ind w:left="567" w:hanging="567"/>
      </w:pPr>
      <w:rPr>
        <w:rFonts w:hint="default"/>
      </w:rPr>
    </w:lvl>
    <w:lvl w:ilvl="5">
      <w:start w:val="1"/>
      <w:numFmt w:val="lowerRoman"/>
      <w:lvlText w:val="(%6)"/>
      <w:lvlJc w:val="lef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left"/>
      <w:pPr>
        <w:tabs>
          <w:tab w:val="num" w:pos="567"/>
        </w:tabs>
        <w:ind w:left="567" w:hanging="567"/>
      </w:pPr>
      <w:rPr>
        <w:rFonts w:hint="default"/>
      </w:rPr>
    </w:lvl>
  </w:abstractNum>
  <w:abstractNum w:abstractNumId="42" w15:restartNumberingAfterBreak="0">
    <w:nsid w:val="7527347B"/>
    <w:multiLevelType w:val="hybridMultilevel"/>
    <w:tmpl w:val="8AC05524"/>
    <w:lvl w:ilvl="0" w:tplc="C1683A54">
      <w:start w:val="1"/>
      <w:numFmt w:val="decimal"/>
      <w:pStyle w:val="TWMarginalierechts"/>
      <w:suff w:val="nothing"/>
      <w:lvlText w:val="%1"/>
      <w:lvlJc w:val="left"/>
      <w:pPr>
        <w:ind w:left="0" w:firstLine="0"/>
      </w:pPr>
      <w:rPr>
        <w:rFonts w:ascii="Arial" w:hAnsi="Arial" w:hint="default"/>
        <w:b w:val="0"/>
        <w:bCs w:val="0"/>
        <w:i w:val="0"/>
        <w:iCs w:val="0"/>
        <w:caps w:val="0"/>
        <w:strike w:val="0"/>
        <w:dstrike w:val="0"/>
        <w:outline w:val="0"/>
        <w:shadow w:val="0"/>
        <w:emboss w:val="0"/>
        <w:imprint w:val="0"/>
        <w:vanish w:val="0"/>
        <w:spacing w:val="0"/>
        <w:kern w:val="0"/>
        <w:position w:val="0"/>
        <w:sz w:val="16"/>
        <w:u w:val="none"/>
        <w:effect w:val="none"/>
        <w:vertAlign w:val="baseline"/>
        <w:em w:val="none"/>
        <w14:ligatures w14:val="none"/>
        <w14:numForm w14:val="default"/>
        <w14:numSpacing w14:val="default"/>
        <w14:stylisticSets/>
        <w14:cntxtAlts w14: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3" w15:restartNumberingAfterBreak="0">
    <w:nsid w:val="7D6F6FE4"/>
    <w:multiLevelType w:val="multilevel"/>
    <w:tmpl w:val="741E133E"/>
    <w:lvl w:ilvl="0">
      <w:start w:val="1"/>
      <w:numFmt w:val="bullet"/>
      <w:pStyle w:val="TWPatAntragBullet"/>
      <w:lvlText w:val="-"/>
      <w:lvlJc w:val="left"/>
      <w:pPr>
        <w:tabs>
          <w:tab w:val="num" w:pos="1134"/>
        </w:tabs>
        <w:ind w:left="1134" w:hanging="567"/>
      </w:pPr>
      <w:rPr>
        <w:rFonts w:ascii="Sylfaen" w:hAnsi="Sylfaen" w:hint="default"/>
        <w:color w:val="auto"/>
      </w:rPr>
    </w:lvl>
    <w:lvl w:ilvl="1">
      <w:start w:val="1"/>
      <w:numFmt w:val="bullet"/>
      <w:lvlText w:val="-"/>
      <w:lvlJc w:val="left"/>
      <w:pPr>
        <w:tabs>
          <w:tab w:val="num" w:pos="1134"/>
        </w:tabs>
        <w:ind w:left="1134" w:hanging="567"/>
      </w:pPr>
      <w:rPr>
        <w:rFonts w:ascii="Sylfaen" w:hAnsi="Sylfaen" w:hint="default"/>
        <w:color w:val="auto"/>
      </w:rPr>
    </w:lvl>
    <w:lvl w:ilvl="2">
      <w:start w:val="1"/>
      <w:numFmt w:val="bullet"/>
      <w:pStyle w:val="TWPatAntragBullet3"/>
      <w:lvlText w:val="-"/>
      <w:lvlJc w:val="left"/>
      <w:pPr>
        <w:tabs>
          <w:tab w:val="num" w:pos="1985"/>
        </w:tabs>
        <w:ind w:left="1985" w:hanging="284"/>
      </w:pPr>
      <w:rPr>
        <w:rFonts w:ascii="Sylfaen" w:hAnsi="Sylfaen"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55892695">
    <w:abstractNumId w:val="31"/>
  </w:num>
  <w:num w:numId="2" w16cid:durableId="966550205">
    <w:abstractNumId w:val="34"/>
  </w:num>
  <w:num w:numId="3" w16cid:durableId="2004047345">
    <w:abstractNumId w:val="35"/>
    <w:lvlOverride w:ilvl="0">
      <w:startOverride w:val="1"/>
    </w:lvlOverride>
    <w:lvlOverride w:ilvl="1">
      <w:startOverride w:val="1"/>
    </w:lvlOverride>
    <w:lvlOverride w:ilvl="2">
      <w:startOverride w:val="27"/>
    </w:lvlOverride>
    <w:lvlOverride w:ilvl="3"/>
    <w:lvlOverride w:ilvl="4"/>
    <w:lvlOverride w:ilvl="5"/>
    <w:lvlOverride w:ilvl="6"/>
    <w:lvlOverride w:ilvl="7"/>
    <w:lvlOverride w:ilvl="8"/>
  </w:num>
  <w:num w:numId="4" w16cid:durableId="1203902523">
    <w:abstractNumId w:val="37"/>
  </w:num>
  <w:num w:numId="5" w16cid:durableId="1729062134">
    <w:abstractNumId w:val="42"/>
  </w:num>
  <w:num w:numId="6" w16cid:durableId="958876267">
    <w:abstractNumId w:val="33"/>
  </w:num>
  <w:num w:numId="7" w16cid:durableId="1791317126">
    <w:abstractNumId w:val="10"/>
  </w:num>
  <w:num w:numId="8" w16cid:durableId="520515503">
    <w:abstractNumId w:val="21"/>
  </w:num>
  <w:num w:numId="9" w16cid:durableId="1484351204">
    <w:abstractNumId w:val="41"/>
  </w:num>
  <w:num w:numId="10" w16cid:durableId="1233275733">
    <w:abstractNumId w:val="20"/>
  </w:num>
  <w:num w:numId="11" w16cid:durableId="43331525">
    <w:abstractNumId w:val="19"/>
  </w:num>
  <w:num w:numId="12" w16cid:durableId="1034649408">
    <w:abstractNumId w:val="28"/>
  </w:num>
  <w:num w:numId="13" w16cid:durableId="432552344">
    <w:abstractNumId w:val="24"/>
  </w:num>
  <w:num w:numId="14" w16cid:durableId="1514566522">
    <w:abstractNumId w:val="15"/>
  </w:num>
  <w:num w:numId="15" w16cid:durableId="1313290256">
    <w:abstractNumId w:val="25"/>
  </w:num>
  <w:num w:numId="16" w16cid:durableId="2136825353">
    <w:abstractNumId w:val="9"/>
  </w:num>
  <w:num w:numId="17" w16cid:durableId="1525047398">
    <w:abstractNumId w:val="7"/>
  </w:num>
  <w:num w:numId="18" w16cid:durableId="1024287528">
    <w:abstractNumId w:val="6"/>
  </w:num>
  <w:num w:numId="19" w16cid:durableId="1131510615">
    <w:abstractNumId w:val="5"/>
  </w:num>
  <w:num w:numId="20" w16cid:durableId="652489651">
    <w:abstractNumId w:val="4"/>
  </w:num>
  <w:num w:numId="21" w16cid:durableId="422185162">
    <w:abstractNumId w:val="8"/>
  </w:num>
  <w:num w:numId="22" w16cid:durableId="495003525">
    <w:abstractNumId w:val="3"/>
  </w:num>
  <w:num w:numId="23" w16cid:durableId="262421218">
    <w:abstractNumId w:val="2"/>
  </w:num>
  <w:num w:numId="24" w16cid:durableId="1715500045">
    <w:abstractNumId w:val="1"/>
  </w:num>
  <w:num w:numId="25" w16cid:durableId="574362443">
    <w:abstractNumId w:val="0"/>
  </w:num>
  <w:num w:numId="26" w16cid:durableId="522863887">
    <w:abstractNumId w:val="16"/>
  </w:num>
  <w:num w:numId="27" w16cid:durableId="440877380">
    <w:abstractNumId w:val="30"/>
  </w:num>
  <w:num w:numId="28" w16cid:durableId="177281213">
    <w:abstractNumId w:val="43"/>
  </w:num>
  <w:num w:numId="29" w16cid:durableId="2029061074">
    <w:abstractNumId w:val="32"/>
  </w:num>
  <w:num w:numId="30" w16cid:durableId="445274997">
    <w:abstractNumId w:val="22"/>
  </w:num>
  <w:num w:numId="31" w16cid:durableId="279993015">
    <w:abstractNumId w:val="38"/>
  </w:num>
  <w:num w:numId="32" w16cid:durableId="1745755213">
    <w:abstractNumId w:val="11"/>
  </w:num>
  <w:num w:numId="33" w16cid:durableId="589504807">
    <w:abstractNumId w:val="29"/>
  </w:num>
  <w:num w:numId="34" w16cid:durableId="1629819164">
    <w:abstractNumId w:val="36"/>
  </w:num>
  <w:num w:numId="35" w16cid:durableId="644119483">
    <w:abstractNumId w:val="12"/>
  </w:num>
  <w:num w:numId="36" w16cid:durableId="752817630">
    <w:abstractNumId w:val="23"/>
  </w:num>
  <w:num w:numId="37" w16cid:durableId="847065374">
    <w:abstractNumId w:val="39"/>
  </w:num>
  <w:num w:numId="38" w16cid:durableId="840972225">
    <w:abstractNumId w:val="27"/>
  </w:num>
  <w:num w:numId="39" w16cid:durableId="674765946">
    <w:abstractNumId w:val="13"/>
  </w:num>
  <w:num w:numId="40" w16cid:durableId="406458529">
    <w:abstractNumId w:val="14"/>
  </w:num>
  <w:num w:numId="41" w16cid:durableId="338704691">
    <w:abstractNumId w:val="26"/>
  </w:num>
  <w:num w:numId="42" w16cid:durableId="615792600">
    <w:abstractNumId w:val="17"/>
  </w:num>
  <w:num w:numId="43" w16cid:durableId="1620070395">
    <w:abstractNumId w:val="18"/>
  </w:num>
  <w:num w:numId="44" w16cid:durableId="123355492">
    <w:abstractNumId w:val="4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cNumber" w:val="41122688"/>
    <w:docVar w:name="DocNumberVersion" w:val="1"/>
  </w:docVars>
  <w:rsids>
    <w:rsidRoot w:val="008930D7"/>
    <w:rsid w:val="00015C3D"/>
    <w:rsid w:val="000168DD"/>
    <w:rsid w:val="00016F4A"/>
    <w:rsid w:val="00030518"/>
    <w:rsid w:val="00030730"/>
    <w:rsid w:val="00032E13"/>
    <w:rsid w:val="00041D8D"/>
    <w:rsid w:val="0005624F"/>
    <w:rsid w:val="000671A4"/>
    <w:rsid w:val="00076F3A"/>
    <w:rsid w:val="00086ED5"/>
    <w:rsid w:val="0009193E"/>
    <w:rsid w:val="00094F43"/>
    <w:rsid w:val="000B482D"/>
    <w:rsid w:val="000E1505"/>
    <w:rsid w:val="000F037C"/>
    <w:rsid w:val="000F6EB1"/>
    <w:rsid w:val="0011035A"/>
    <w:rsid w:val="001129A1"/>
    <w:rsid w:val="00114CBE"/>
    <w:rsid w:val="00120885"/>
    <w:rsid w:val="00126350"/>
    <w:rsid w:val="00141F14"/>
    <w:rsid w:val="001428B0"/>
    <w:rsid w:val="00180D0B"/>
    <w:rsid w:val="001A236B"/>
    <w:rsid w:val="001A538D"/>
    <w:rsid w:val="001D4AC2"/>
    <w:rsid w:val="001E0813"/>
    <w:rsid w:val="001E32B9"/>
    <w:rsid w:val="001F337F"/>
    <w:rsid w:val="001F7FD8"/>
    <w:rsid w:val="00227A1B"/>
    <w:rsid w:val="00246C8F"/>
    <w:rsid w:val="0026154B"/>
    <w:rsid w:val="00265B01"/>
    <w:rsid w:val="002952F9"/>
    <w:rsid w:val="00297F8C"/>
    <w:rsid w:val="002C4E73"/>
    <w:rsid w:val="002C56A1"/>
    <w:rsid w:val="002E53AB"/>
    <w:rsid w:val="003014A3"/>
    <w:rsid w:val="00322B2C"/>
    <w:rsid w:val="00354C3A"/>
    <w:rsid w:val="003577C8"/>
    <w:rsid w:val="00360FCC"/>
    <w:rsid w:val="003668AA"/>
    <w:rsid w:val="003818CE"/>
    <w:rsid w:val="003B223E"/>
    <w:rsid w:val="003B484A"/>
    <w:rsid w:val="003D0A22"/>
    <w:rsid w:val="003D61CD"/>
    <w:rsid w:val="003E5326"/>
    <w:rsid w:val="003F0715"/>
    <w:rsid w:val="003F5E13"/>
    <w:rsid w:val="004159BA"/>
    <w:rsid w:val="00425566"/>
    <w:rsid w:val="00432C0E"/>
    <w:rsid w:val="004418BD"/>
    <w:rsid w:val="004850EB"/>
    <w:rsid w:val="00491163"/>
    <w:rsid w:val="004A4803"/>
    <w:rsid w:val="004B30AE"/>
    <w:rsid w:val="004D1BBC"/>
    <w:rsid w:val="004D6A4B"/>
    <w:rsid w:val="00562296"/>
    <w:rsid w:val="00596970"/>
    <w:rsid w:val="005B39AB"/>
    <w:rsid w:val="005C2B0A"/>
    <w:rsid w:val="005D3CCD"/>
    <w:rsid w:val="005D53A7"/>
    <w:rsid w:val="00601AAA"/>
    <w:rsid w:val="00614A12"/>
    <w:rsid w:val="006537C3"/>
    <w:rsid w:val="006727D9"/>
    <w:rsid w:val="00675CEB"/>
    <w:rsid w:val="006806BF"/>
    <w:rsid w:val="006807E9"/>
    <w:rsid w:val="00683906"/>
    <w:rsid w:val="006A545B"/>
    <w:rsid w:val="006B61C1"/>
    <w:rsid w:val="006C0A38"/>
    <w:rsid w:val="006D7E9A"/>
    <w:rsid w:val="006E140A"/>
    <w:rsid w:val="006E38D0"/>
    <w:rsid w:val="006E55B4"/>
    <w:rsid w:val="00705682"/>
    <w:rsid w:val="00724DD5"/>
    <w:rsid w:val="00724F13"/>
    <w:rsid w:val="0072576E"/>
    <w:rsid w:val="00751AF0"/>
    <w:rsid w:val="00761A03"/>
    <w:rsid w:val="007C2F9A"/>
    <w:rsid w:val="0080691B"/>
    <w:rsid w:val="0082759F"/>
    <w:rsid w:val="00852343"/>
    <w:rsid w:val="008528C2"/>
    <w:rsid w:val="00884E59"/>
    <w:rsid w:val="008930D7"/>
    <w:rsid w:val="0089434C"/>
    <w:rsid w:val="008B780E"/>
    <w:rsid w:val="008C01A9"/>
    <w:rsid w:val="008C194E"/>
    <w:rsid w:val="008D0E72"/>
    <w:rsid w:val="008D514F"/>
    <w:rsid w:val="008F1989"/>
    <w:rsid w:val="008F6EAD"/>
    <w:rsid w:val="00901F48"/>
    <w:rsid w:val="00903AFD"/>
    <w:rsid w:val="009054F2"/>
    <w:rsid w:val="009304C7"/>
    <w:rsid w:val="00956A40"/>
    <w:rsid w:val="00980CDD"/>
    <w:rsid w:val="009B513C"/>
    <w:rsid w:val="009D362D"/>
    <w:rsid w:val="009E5F89"/>
    <w:rsid w:val="009F304B"/>
    <w:rsid w:val="009F654B"/>
    <w:rsid w:val="00A07823"/>
    <w:rsid w:val="00A1017E"/>
    <w:rsid w:val="00A30788"/>
    <w:rsid w:val="00A34013"/>
    <w:rsid w:val="00A52453"/>
    <w:rsid w:val="00A535CE"/>
    <w:rsid w:val="00A833D6"/>
    <w:rsid w:val="00A87554"/>
    <w:rsid w:val="00A932EE"/>
    <w:rsid w:val="00A9575E"/>
    <w:rsid w:val="00AA3B6C"/>
    <w:rsid w:val="00AA658D"/>
    <w:rsid w:val="00AF61A3"/>
    <w:rsid w:val="00B24ECF"/>
    <w:rsid w:val="00B33356"/>
    <w:rsid w:val="00B416FD"/>
    <w:rsid w:val="00B61333"/>
    <w:rsid w:val="00BA5600"/>
    <w:rsid w:val="00BB11F0"/>
    <w:rsid w:val="00C04B52"/>
    <w:rsid w:val="00C45DD5"/>
    <w:rsid w:val="00C62D47"/>
    <w:rsid w:val="00C662B8"/>
    <w:rsid w:val="00C86622"/>
    <w:rsid w:val="00C90949"/>
    <w:rsid w:val="00CD59AC"/>
    <w:rsid w:val="00D17C27"/>
    <w:rsid w:val="00D17D14"/>
    <w:rsid w:val="00D4697F"/>
    <w:rsid w:val="00D51B6B"/>
    <w:rsid w:val="00D72B9C"/>
    <w:rsid w:val="00D734DD"/>
    <w:rsid w:val="00D814AD"/>
    <w:rsid w:val="00DB0928"/>
    <w:rsid w:val="00DB2EAA"/>
    <w:rsid w:val="00DC018E"/>
    <w:rsid w:val="00DE199C"/>
    <w:rsid w:val="00DF1C69"/>
    <w:rsid w:val="00DF7A60"/>
    <w:rsid w:val="00E00A76"/>
    <w:rsid w:val="00E116D8"/>
    <w:rsid w:val="00E1277C"/>
    <w:rsid w:val="00E1340B"/>
    <w:rsid w:val="00E2263B"/>
    <w:rsid w:val="00E2708B"/>
    <w:rsid w:val="00E36C44"/>
    <w:rsid w:val="00E419E5"/>
    <w:rsid w:val="00E60DD6"/>
    <w:rsid w:val="00E67DEE"/>
    <w:rsid w:val="00E76742"/>
    <w:rsid w:val="00E77F65"/>
    <w:rsid w:val="00E8428F"/>
    <w:rsid w:val="00E84DFA"/>
    <w:rsid w:val="00E92067"/>
    <w:rsid w:val="00EB6B71"/>
    <w:rsid w:val="00EE23D6"/>
    <w:rsid w:val="00EF6DA0"/>
    <w:rsid w:val="00F073D2"/>
    <w:rsid w:val="00F07921"/>
    <w:rsid w:val="00F14333"/>
    <w:rsid w:val="00F17B60"/>
    <w:rsid w:val="00F309F3"/>
    <w:rsid w:val="00F46BBF"/>
    <w:rsid w:val="00F60884"/>
    <w:rsid w:val="00FA1C01"/>
    <w:rsid w:val="00FA7649"/>
    <w:rsid w:val="00FD052A"/>
    <w:rsid w:val="0496BEE5"/>
    <w:rsid w:val="0F7DDA86"/>
    <w:rsid w:val="1271630B"/>
    <w:rsid w:val="13B3D41C"/>
    <w:rsid w:val="1445B7C6"/>
    <w:rsid w:val="19C8E596"/>
    <w:rsid w:val="23BA64CA"/>
    <w:rsid w:val="248713EA"/>
    <w:rsid w:val="29BD5A39"/>
    <w:rsid w:val="2AC29539"/>
    <w:rsid w:val="2F9B13C0"/>
    <w:rsid w:val="31B14149"/>
    <w:rsid w:val="31FEE472"/>
    <w:rsid w:val="3AEE86C9"/>
    <w:rsid w:val="3F3396E5"/>
    <w:rsid w:val="407B6DEA"/>
    <w:rsid w:val="40BD874D"/>
    <w:rsid w:val="42596A97"/>
    <w:rsid w:val="438945BA"/>
    <w:rsid w:val="476694C2"/>
    <w:rsid w:val="47A30EC1"/>
    <w:rsid w:val="4FDEB55F"/>
    <w:rsid w:val="50B66C11"/>
    <w:rsid w:val="50E0830D"/>
    <w:rsid w:val="580A79B4"/>
    <w:rsid w:val="58B605D3"/>
    <w:rsid w:val="5C39ED96"/>
    <w:rsid w:val="6179BC8C"/>
    <w:rsid w:val="65D8E669"/>
    <w:rsid w:val="67903493"/>
    <w:rsid w:val="6B283C2B"/>
    <w:rsid w:val="6D452831"/>
    <w:rsid w:val="79060AB7"/>
    <w:rsid w:val="7A1E69A3"/>
    <w:rsid w:val="7EBA35C4"/>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AB63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A76"/>
    <w:pPr>
      <w:spacing w:line="360" w:lineRule="auto"/>
    </w:pPr>
    <w:rPr>
      <w:rFonts w:ascii="Arial" w:hAnsi="Arial"/>
      <w:sz w:val="21"/>
    </w:rPr>
  </w:style>
  <w:style w:type="paragraph" w:styleId="Heading1">
    <w:name w:val="heading 1"/>
    <w:basedOn w:val="Normal"/>
    <w:next w:val="Normal"/>
    <w:link w:val="Heading1Char"/>
    <w:uiPriority w:val="9"/>
    <w:qFormat/>
    <w:rsid w:val="00E00A76"/>
    <w:pPr>
      <w:keepNext/>
      <w:keepLines/>
      <w:numPr>
        <w:numId w:val="15"/>
      </w:numPr>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00A76"/>
    <w:pPr>
      <w:keepNext/>
      <w:keepLines/>
      <w:numPr>
        <w:ilvl w:val="1"/>
        <w:numId w:val="15"/>
      </w:numPr>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00A76"/>
    <w:pPr>
      <w:keepNext/>
      <w:keepLines/>
      <w:numPr>
        <w:ilvl w:val="2"/>
        <w:numId w:val="15"/>
      </w:numPr>
      <w:spacing w:before="40"/>
      <w:outlineLvl w:val="2"/>
    </w:pPr>
    <w:rPr>
      <w:rFonts w:asciiTheme="majorHAnsi" w:eastAsiaTheme="majorEastAsia" w:hAnsiTheme="majorHAnsi" w:cstheme="majorBidi"/>
      <w:color w:val="0A2F40" w:themeColor="accent1" w:themeShade="7F"/>
      <w:sz w:val="24"/>
      <w:szCs w:val="24"/>
    </w:rPr>
  </w:style>
  <w:style w:type="paragraph" w:styleId="Heading4">
    <w:name w:val="heading 4"/>
    <w:basedOn w:val="Normal"/>
    <w:next w:val="Normal"/>
    <w:link w:val="Heading4Char"/>
    <w:uiPriority w:val="9"/>
    <w:semiHidden/>
    <w:unhideWhenUsed/>
    <w:qFormat/>
    <w:rsid w:val="00E00A76"/>
    <w:pPr>
      <w:keepNext/>
      <w:keepLines/>
      <w:numPr>
        <w:ilvl w:val="3"/>
        <w:numId w:val="15"/>
      </w:numPr>
      <w:spacing w:before="4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00A76"/>
    <w:pPr>
      <w:keepNext/>
      <w:keepLines/>
      <w:numPr>
        <w:ilvl w:val="4"/>
        <w:numId w:val="15"/>
      </w:numPr>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E00A76"/>
    <w:pPr>
      <w:keepNext/>
      <w:keepLines/>
      <w:numPr>
        <w:ilvl w:val="5"/>
        <w:numId w:val="15"/>
      </w:numPr>
      <w:spacing w:before="40"/>
      <w:outlineLvl w:val="5"/>
    </w:pPr>
    <w:rPr>
      <w:rFonts w:asciiTheme="majorHAnsi" w:eastAsiaTheme="majorEastAsia" w:hAnsiTheme="majorHAnsi" w:cstheme="majorBidi"/>
      <w:color w:val="0A2F40" w:themeColor="accent1" w:themeShade="7F"/>
    </w:rPr>
  </w:style>
  <w:style w:type="paragraph" w:styleId="Heading7">
    <w:name w:val="heading 7"/>
    <w:basedOn w:val="Normal"/>
    <w:next w:val="Normal"/>
    <w:link w:val="Heading7Char"/>
    <w:uiPriority w:val="9"/>
    <w:semiHidden/>
    <w:unhideWhenUsed/>
    <w:qFormat/>
    <w:rsid w:val="00E00A76"/>
    <w:pPr>
      <w:keepNext/>
      <w:keepLines/>
      <w:numPr>
        <w:ilvl w:val="6"/>
        <w:numId w:val="15"/>
      </w:numPr>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E00A76"/>
    <w:pPr>
      <w:keepNext/>
      <w:keepLines/>
      <w:numPr>
        <w:ilvl w:val="7"/>
        <w:numId w:val="15"/>
      </w:numPr>
      <w:spacing w:before="40"/>
      <w:outlineLvl w:val="7"/>
    </w:pPr>
    <w:rPr>
      <w:rFonts w:asciiTheme="majorHAnsi" w:eastAsiaTheme="majorEastAsia" w:hAnsiTheme="majorHAnsi" w:cstheme="majorBidi"/>
      <w:color w:val="272727" w:themeColor="text1" w:themeTint="D8"/>
    </w:rPr>
  </w:style>
  <w:style w:type="paragraph" w:styleId="Heading9">
    <w:name w:val="heading 9"/>
    <w:basedOn w:val="Normal"/>
    <w:next w:val="Normal"/>
    <w:link w:val="Heading9Char"/>
    <w:uiPriority w:val="9"/>
    <w:semiHidden/>
    <w:unhideWhenUsed/>
    <w:qFormat/>
    <w:rsid w:val="00E00A76"/>
    <w:pPr>
      <w:keepNext/>
      <w:keepLines/>
      <w:numPr>
        <w:ilvl w:val="8"/>
        <w:numId w:val="15"/>
      </w:numPr>
      <w:spacing w:before="40"/>
      <w:outlineLvl w:val="8"/>
    </w:pPr>
    <w:rPr>
      <w:rFonts w:asciiTheme="majorHAnsi" w:eastAsiaTheme="majorEastAsia" w:hAnsiTheme="majorHAnsi" w:cstheme="majorBidi"/>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WTextebene">
    <w:name w:val="TW Textebene"/>
    <w:basedOn w:val="Normal"/>
    <w:qFormat/>
    <w:rsid w:val="00E00A76"/>
    <w:pPr>
      <w:spacing w:after="240"/>
      <w:jc w:val="both"/>
    </w:pPr>
    <w:rPr>
      <w:kern w:val="0"/>
      <w14:ligatures w14:val="none"/>
    </w:rPr>
  </w:style>
  <w:style w:type="paragraph" w:customStyle="1" w:styleId="TWTextebene12">
    <w:name w:val="TW Textebene 1+2"/>
    <w:basedOn w:val="Normal"/>
    <w:qFormat/>
    <w:rsid w:val="00E00A76"/>
    <w:pPr>
      <w:spacing w:after="240"/>
      <w:ind w:left="567"/>
      <w:jc w:val="both"/>
    </w:pPr>
    <w:rPr>
      <w:kern w:val="0"/>
      <w14:ligatures w14:val="none"/>
    </w:rPr>
  </w:style>
  <w:style w:type="paragraph" w:customStyle="1" w:styleId="TWTextebene3">
    <w:name w:val="TW Textebene 3"/>
    <w:basedOn w:val="Normal"/>
    <w:qFormat/>
    <w:rsid w:val="00E00A76"/>
    <w:pPr>
      <w:spacing w:after="240"/>
      <w:ind w:left="1134"/>
      <w:jc w:val="both"/>
    </w:pPr>
    <w:rPr>
      <w:kern w:val="0"/>
      <w14:ligatures w14:val="none"/>
    </w:rPr>
  </w:style>
  <w:style w:type="paragraph" w:customStyle="1" w:styleId="TWTextebene4">
    <w:name w:val="TW Textebene 4"/>
    <w:basedOn w:val="Normal"/>
    <w:qFormat/>
    <w:rsid w:val="00E00A76"/>
    <w:pPr>
      <w:spacing w:after="240"/>
      <w:ind w:left="1701"/>
      <w:jc w:val="both"/>
    </w:pPr>
    <w:rPr>
      <w:kern w:val="0"/>
      <w14:ligatures w14:val="none"/>
    </w:rPr>
  </w:style>
  <w:style w:type="paragraph" w:customStyle="1" w:styleId="TWTextebene5">
    <w:name w:val="TW Textebene 5"/>
    <w:basedOn w:val="Normal"/>
    <w:qFormat/>
    <w:rsid w:val="00E00A76"/>
    <w:pPr>
      <w:spacing w:after="240"/>
      <w:ind w:left="2268"/>
      <w:jc w:val="both"/>
    </w:pPr>
    <w:rPr>
      <w:kern w:val="0"/>
      <w14:ligatures w14:val="none"/>
    </w:rPr>
  </w:style>
  <w:style w:type="paragraph" w:customStyle="1" w:styleId="TWTextebene6">
    <w:name w:val="TW Textebene 6"/>
    <w:basedOn w:val="Normal"/>
    <w:qFormat/>
    <w:rsid w:val="00E00A76"/>
    <w:pPr>
      <w:spacing w:after="240"/>
      <w:ind w:left="2835"/>
      <w:jc w:val="both"/>
    </w:pPr>
    <w:rPr>
      <w:kern w:val="0"/>
      <w14:ligatures w14:val="none"/>
    </w:rPr>
  </w:style>
  <w:style w:type="paragraph" w:customStyle="1" w:styleId="TWTextebene7">
    <w:name w:val="TW Textebene 7"/>
    <w:basedOn w:val="Normal"/>
    <w:qFormat/>
    <w:rsid w:val="00E00A76"/>
    <w:pPr>
      <w:spacing w:after="240"/>
      <w:ind w:left="3402"/>
      <w:jc w:val="both"/>
    </w:pPr>
    <w:rPr>
      <w:kern w:val="0"/>
      <w14:ligatures w14:val="none"/>
    </w:rPr>
  </w:style>
  <w:style w:type="numbering" w:customStyle="1" w:styleId="TWNummerierung">
    <w:name w:val="TW Nummerierung"/>
    <w:uiPriority w:val="99"/>
    <w:rsid w:val="00E00A76"/>
    <w:pPr>
      <w:numPr>
        <w:numId w:val="1"/>
      </w:numPr>
    </w:pPr>
  </w:style>
  <w:style w:type="paragraph" w:customStyle="1" w:styleId="TWNummerierung1">
    <w:name w:val="TW Nummerierung1"/>
    <w:basedOn w:val="Normal"/>
    <w:next w:val="Normal"/>
    <w:qFormat/>
    <w:rsid w:val="00E00A76"/>
    <w:pPr>
      <w:keepNext/>
      <w:numPr>
        <w:numId w:val="2"/>
      </w:numPr>
      <w:spacing w:after="240"/>
      <w:jc w:val="both"/>
      <w:outlineLvl w:val="0"/>
    </w:pPr>
    <w:rPr>
      <w:b/>
      <w:kern w:val="0"/>
      <w14:ligatures w14:val="none"/>
    </w:rPr>
  </w:style>
  <w:style w:type="paragraph" w:customStyle="1" w:styleId="TWNummerierung2">
    <w:name w:val="TW Nummerierung2"/>
    <w:basedOn w:val="Normal"/>
    <w:next w:val="Normal"/>
    <w:qFormat/>
    <w:rsid w:val="00E00A76"/>
    <w:pPr>
      <w:numPr>
        <w:ilvl w:val="1"/>
        <w:numId w:val="2"/>
      </w:numPr>
      <w:spacing w:after="240"/>
      <w:jc w:val="both"/>
      <w:outlineLvl w:val="1"/>
    </w:pPr>
    <w:rPr>
      <w:kern w:val="0"/>
      <w14:ligatures w14:val="none"/>
    </w:rPr>
  </w:style>
  <w:style w:type="paragraph" w:customStyle="1" w:styleId="TWNummerierung3">
    <w:name w:val="TW Nummerierung3"/>
    <w:basedOn w:val="Normal"/>
    <w:next w:val="Normal"/>
    <w:qFormat/>
    <w:rsid w:val="00E00A76"/>
    <w:pPr>
      <w:numPr>
        <w:ilvl w:val="2"/>
        <w:numId w:val="2"/>
      </w:numPr>
      <w:spacing w:after="240"/>
      <w:jc w:val="both"/>
      <w:outlineLvl w:val="2"/>
    </w:pPr>
    <w:rPr>
      <w:kern w:val="0"/>
      <w14:ligatures w14:val="none"/>
    </w:rPr>
  </w:style>
  <w:style w:type="paragraph" w:customStyle="1" w:styleId="TWNummerierung4">
    <w:name w:val="TW Nummerierung4"/>
    <w:basedOn w:val="Normal"/>
    <w:next w:val="Normal"/>
    <w:qFormat/>
    <w:rsid w:val="00E00A76"/>
    <w:pPr>
      <w:numPr>
        <w:ilvl w:val="3"/>
        <w:numId w:val="2"/>
      </w:numPr>
      <w:spacing w:after="240"/>
      <w:jc w:val="both"/>
      <w:outlineLvl w:val="3"/>
    </w:pPr>
    <w:rPr>
      <w:kern w:val="0"/>
      <w14:ligatures w14:val="none"/>
    </w:rPr>
  </w:style>
  <w:style w:type="paragraph" w:customStyle="1" w:styleId="TWNummerierung5">
    <w:name w:val="TW Nummerierung5"/>
    <w:basedOn w:val="Normal"/>
    <w:next w:val="Normal"/>
    <w:qFormat/>
    <w:rsid w:val="00E00A76"/>
    <w:pPr>
      <w:numPr>
        <w:ilvl w:val="4"/>
        <w:numId w:val="2"/>
      </w:numPr>
      <w:spacing w:after="240"/>
      <w:jc w:val="both"/>
      <w:outlineLvl w:val="4"/>
    </w:pPr>
    <w:rPr>
      <w:kern w:val="0"/>
      <w14:ligatures w14:val="none"/>
    </w:rPr>
  </w:style>
  <w:style w:type="paragraph" w:customStyle="1" w:styleId="TWNummerierung6">
    <w:name w:val="TW Nummerierung6"/>
    <w:basedOn w:val="Normal"/>
    <w:next w:val="Normal"/>
    <w:qFormat/>
    <w:rsid w:val="00E00A76"/>
    <w:pPr>
      <w:numPr>
        <w:ilvl w:val="5"/>
        <w:numId w:val="2"/>
      </w:numPr>
      <w:spacing w:after="240"/>
      <w:jc w:val="both"/>
      <w:outlineLvl w:val="5"/>
    </w:pPr>
    <w:rPr>
      <w:kern w:val="0"/>
      <w14:ligatures w14:val="none"/>
    </w:rPr>
  </w:style>
  <w:style w:type="paragraph" w:customStyle="1" w:styleId="TWNummerierung7">
    <w:name w:val="TW Nummerierung7"/>
    <w:basedOn w:val="Normal"/>
    <w:next w:val="Normal"/>
    <w:qFormat/>
    <w:rsid w:val="00E00A76"/>
    <w:pPr>
      <w:numPr>
        <w:ilvl w:val="6"/>
        <w:numId w:val="2"/>
      </w:numPr>
      <w:spacing w:after="240"/>
      <w:jc w:val="both"/>
      <w:outlineLvl w:val="6"/>
    </w:pPr>
    <w:rPr>
      <w:kern w:val="0"/>
      <w14:ligatures w14:val="none"/>
    </w:rPr>
  </w:style>
  <w:style w:type="paragraph" w:styleId="Header">
    <w:name w:val="header"/>
    <w:basedOn w:val="Normal"/>
    <w:link w:val="HeaderChar"/>
    <w:uiPriority w:val="99"/>
    <w:unhideWhenUsed/>
    <w:rsid w:val="00E00A76"/>
    <w:pPr>
      <w:tabs>
        <w:tab w:val="center" w:pos="4536"/>
        <w:tab w:val="right" w:pos="9072"/>
      </w:tabs>
      <w:spacing w:after="0" w:line="240" w:lineRule="auto"/>
    </w:pPr>
  </w:style>
  <w:style w:type="character" w:customStyle="1" w:styleId="HeaderChar">
    <w:name w:val="Header Char"/>
    <w:basedOn w:val="DefaultParagraphFont"/>
    <w:link w:val="Header"/>
    <w:uiPriority w:val="99"/>
    <w:rsid w:val="00E00A76"/>
    <w:rPr>
      <w:rFonts w:ascii="Arial" w:hAnsi="Arial"/>
      <w:sz w:val="21"/>
    </w:rPr>
  </w:style>
  <w:style w:type="paragraph" w:styleId="Footer">
    <w:name w:val="footer"/>
    <w:basedOn w:val="Normal"/>
    <w:link w:val="FooterChar"/>
    <w:uiPriority w:val="99"/>
    <w:unhideWhenUsed/>
    <w:rsid w:val="00E00A76"/>
    <w:pPr>
      <w:tabs>
        <w:tab w:val="center" w:pos="4536"/>
        <w:tab w:val="right" w:pos="9072"/>
      </w:tabs>
      <w:spacing w:after="0" w:line="240" w:lineRule="auto"/>
    </w:pPr>
  </w:style>
  <w:style w:type="character" w:customStyle="1" w:styleId="FooterChar">
    <w:name w:val="Footer Char"/>
    <w:basedOn w:val="DefaultParagraphFont"/>
    <w:link w:val="Footer"/>
    <w:uiPriority w:val="99"/>
    <w:rsid w:val="00E00A76"/>
    <w:rPr>
      <w:rFonts w:ascii="Arial" w:hAnsi="Arial"/>
      <w:sz w:val="21"/>
    </w:rPr>
  </w:style>
  <w:style w:type="paragraph" w:styleId="TOC1">
    <w:name w:val="toc 1"/>
    <w:basedOn w:val="Normal"/>
    <w:next w:val="Normal"/>
    <w:uiPriority w:val="39"/>
    <w:unhideWhenUsed/>
    <w:rsid w:val="00E00A76"/>
    <w:pPr>
      <w:tabs>
        <w:tab w:val="left" w:pos="567"/>
        <w:tab w:val="right" w:leader="dot" w:pos="9213"/>
      </w:tabs>
      <w:spacing w:after="100"/>
      <w:ind w:left="567" w:right="425" w:hanging="567"/>
      <w:contextualSpacing/>
      <w:jc w:val="both"/>
    </w:pPr>
    <w:rPr>
      <w:rFonts w:cs="Arial"/>
      <w:b/>
      <w:kern w:val="0"/>
      <w:szCs w:val="21"/>
      <w14:ligatures w14:val="none"/>
    </w:rPr>
  </w:style>
  <w:style w:type="paragraph" w:styleId="TOC2">
    <w:name w:val="toc 2"/>
    <w:basedOn w:val="Normal"/>
    <w:next w:val="Normal"/>
    <w:uiPriority w:val="39"/>
    <w:unhideWhenUsed/>
    <w:rsid w:val="00E00A76"/>
    <w:pPr>
      <w:tabs>
        <w:tab w:val="left" w:pos="1134"/>
        <w:tab w:val="right" w:leader="dot" w:pos="9213"/>
      </w:tabs>
      <w:spacing w:after="100"/>
      <w:ind w:left="1134" w:right="425" w:hanging="567"/>
      <w:contextualSpacing/>
      <w:jc w:val="both"/>
    </w:pPr>
    <w:rPr>
      <w:rFonts w:cs="Arial"/>
      <w:b/>
      <w:kern w:val="0"/>
      <w:szCs w:val="21"/>
      <w14:ligatures w14:val="none"/>
    </w:rPr>
  </w:style>
  <w:style w:type="paragraph" w:styleId="TOC3">
    <w:name w:val="toc 3"/>
    <w:basedOn w:val="Normal"/>
    <w:next w:val="Normal"/>
    <w:rsid w:val="00E00A76"/>
    <w:pPr>
      <w:tabs>
        <w:tab w:val="left" w:pos="1701"/>
        <w:tab w:val="right" w:leader="dot" w:pos="9213"/>
      </w:tabs>
      <w:autoSpaceDE w:val="0"/>
      <w:autoSpaceDN w:val="0"/>
      <w:adjustRightInd w:val="0"/>
      <w:spacing w:after="0"/>
      <w:ind w:left="1701" w:right="425" w:hanging="567"/>
      <w:contextualSpacing/>
      <w:jc w:val="both"/>
    </w:pPr>
    <w:rPr>
      <w:rFonts w:eastAsia="Times New Roman" w:cs="Arial"/>
      <w:b/>
      <w:kern w:val="0"/>
      <w:szCs w:val="20"/>
      <w:lang w:eastAsia="de-DE"/>
      <w14:ligatures w14:val="none"/>
    </w:rPr>
  </w:style>
  <w:style w:type="character" w:customStyle="1" w:styleId="Heading1Char">
    <w:name w:val="Heading 1 Char"/>
    <w:basedOn w:val="DefaultParagraphFont"/>
    <w:link w:val="Heading1"/>
    <w:uiPriority w:val="9"/>
    <w:rsid w:val="00E00A76"/>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00A76"/>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00A76"/>
    <w:rPr>
      <w:rFonts w:asciiTheme="majorHAnsi" w:eastAsiaTheme="majorEastAsia" w:hAnsiTheme="majorHAnsi" w:cstheme="majorBidi"/>
      <w:color w:val="0A2F40" w:themeColor="accent1" w:themeShade="7F"/>
      <w:sz w:val="24"/>
      <w:szCs w:val="24"/>
    </w:rPr>
  </w:style>
  <w:style w:type="character" w:customStyle="1" w:styleId="Heading4Char">
    <w:name w:val="Heading 4 Char"/>
    <w:basedOn w:val="DefaultParagraphFont"/>
    <w:link w:val="Heading4"/>
    <w:uiPriority w:val="9"/>
    <w:semiHidden/>
    <w:rsid w:val="00E00A76"/>
    <w:rPr>
      <w:rFonts w:asciiTheme="majorHAnsi" w:eastAsiaTheme="majorEastAsia" w:hAnsiTheme="majorHAnsi" w:cstheme="majorBidi"/>
      <w:i/>
      <w:iCs/>
      <w:color w:val="0F4761" w:themeColor="accent1" w:themeShade="BF"/>
      <w:sz w:val="21"/>
    </w:rPr>
  </w:style>
  <w:style w:type="character" w:customStyle="1" w:styleId="Heading5Char">
    <w:name w:val="Heading 5 Char"/>
    <w:basedOn w:val="DefaultParagraphFont"/>
    <w:link w:val="Heading5"/>
    <w:uiPriority w:val="9"/>
    <w:semiHidden/>
    <w:rsid w:val="00E00A76"/>
    <w:rPr>
      <w:rFonts w:asciiTheme="majorHAnsi" w:eastAsiaTheme="majorEastAsia" w:hAnsiTheme="majorHAnsi" w:cstheme="majorBidi"/>
      <w:color w:val="0F4761" w:themeColor="accent1" w:themeShade="BF"/>
      <w:sz w:val="21"/>
    </w:rPr>
  </w:style>
  <w:style w:type="character" w:customStyle="1" w:styleId="Heading6Char">
    <w:name w:val="Heading 6 Char"/>
    <w:basedOn w:val="DefaultParagraphFont"/>
    <w:link w:val="Heading6"/>
    <w:uiPriority w:val="9"/>
    <w:semiHidden/>
    <w:rsid w:val="00E00A76"/>
    <w:rPr>
      <w:rFonts w:asciiTheme="majorHAnsi" w:eastAsiaTheme="majorEastAsia" w:hAnsiTheme="majorHAnsi" w:cstheme="majorBidi"/>
      <w:color w:val="0A2F40" w:themeColor="accent1" w:themeShade="7F"/>
      <w:sz w:val="21"/>
    </w:rPr>
  </w:style>
  <w:style w:type="character" w:customStyle="1" w:styleId="Heading7Char">
    <w:name w:val="Heading 7 Char"/>
    <w:basedOn w:val="DefaultParagraphFont"/>
    <w:link w:val="Heading7"/>
    <w:uiPriority w:val="9"/>
    <w:semiHidden/>
    <w:rsid w:val="00E00A76"/>
    <w:rPr>
      <w:rFonts w:asciiTheme="majorHAnsi" w:eastAsiaTheme="majorEastAsia" w:hAnsiTheme="majorHAnsi" w:cstheme="majorBidi"/>
      <w:i/>
      <w:iCs/>
      <w:color w:val="0A2F40" w:themeColor="accent1" w:themeShade="7F"/>
      <w:sz w:val="21"/>
    </w:rPr>
  </w:style>
  <w:style w:type="character" w:customStyle="1" w:styleId="Heading8Char">
    <w:name w:val="Heading 8 Char"/>
    <w:basedOn w:val="DefaultParagraphFont"/>
    <w:link w:val="Heading8"/>
    <w:uiPriority w:val="9"/>
    <w:semiHidden/>
    <w:rsid w:val="00E00A76"/>
    <w:rPr>
      <w:rFonts w:asciiTheme="majorHAnsi" w:eastAsiaTheme="majorEastAsia" w:hAnsiTheme="majorHAnsi" w:cstheme="majorBidi"/>
      <w:color w:val="272727" w:themeColor="text1" w:themeTint="D8"/>
      <w:sz w:val="21"/>
    </w:rPr>
  </w:style>
  <w:style w:type="character" w:customStyle="1" w:styleId="Heading9Char">
    <w:name w:val="Heading 9 Char"/>
    <w:basedOn w:val="DefaultParagraphFont"/>
    <w:link w:val="Heading9"/>
    <w:uiPriority w:val="9"/>
    <w:semiHidden/>
    <w:rsid w:val="00E00A76"/>
    <w:rPr>
      <w:rFonts w:asciiTheme="majorHAnsi" w:eastAsiaTheme="majorEastAsia" w:hAnsiTheme="majorHAnsi" w:cstheme="majorBidi"/>
      <w:i/>
      <w:iCs/>
      <w:color w:val="272727" w:themeColor="text1" w:themeTint="D8"/>
      <w:sz w:val="21"/>
    </w:rPr>
  </w:style>
  <w:style w:type="paragraph" w:styleId="Title">
    <w:name w:val="Title"/>
    <w:basedOn w:val="Normal"/>
    <w:next w:val="Normal"/>
    <w:link w:val="TitleChar"/>
    <w:uiPriority w:val="10"/>
    <w:qFormat/>
    <w:rsid w:val="00E00A7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A76"/>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E00A76"/>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E00A76"/>
    <w:rPr>
      <w:rFonts w:eastAsiaTheme="minorEastAsia"/>
      <w:color w:val="5A5A5A" w:themeColor="text1" w:themeTint="A5"/>
      <w:spacing w:val="15"/>
      <w:kern w:val="0"/>
      <w14:ligatures w14:val="none"/>
    </w:rPr>
  </w:style>
  <w:style w:type="paragraph" w:styleId="Quote">
    <w:name w:val="Quote"/>
    <w:basedOn w:val="Normal"/>
    <w:next w:val="Normal"/>
    <w:link w:val="QuoteChar"/>
    <w:uiPriority w:val="29"/>
    <w:qFormat/>
    <w:rsid w:val="00E00A7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00A76"/>
    <w:rPr>
      <w:rFonts w:ascii="Arial" w:hAnsi="Arial"/>
      <w:i/>
      <w:iCs/>
      <w:color w:val="404040" w:themeColor="text1" w:themeTint="BF"/>
      <w:kern w:val="0"/>
      <w:sz w:val="21"/>
      <w:szCs w:val="21"/>
      <w14:ligatures w14:val="none"/>
    </w:rPr>
  </w:style>
  <w:style w:type="paragraph" w:styleId="ListParagraph">
    <w:name w:val="List Paragraph"/>
    <w:basedOn w:val="Normal"/>
    <w:uiPriority w:val="34"/>
    <w:qFormat/>
    <w:rsid w:val="00E00A76"/>
    <w:pPr>
      <w:ind w:left="720"/>
      <w:contextualSpacing/>
    </w:pPr>
  </w:style>
  <w:style w:type="character" w:styleId="IntenseEmphasis">
    <w:name w:val="Intense Emphasis"/>
    <w:basedOn w:val="DefaultParagraphFont"/>
    <w:uiPriority w:val="21"/>
    <w:qFormat/>
    <w:rsid w:val="00E00A76"/>
    <w:rPr>
      <w:i/>
      <w:iCs/>
      <w:color w:val="156082" w:themeColor="accent1"/>
    </w:rPr>
  </w:style>
  <w:style w:type="paragraph" w:styleId="IntenseQuote">
    <w:name w:val="Intense Quote"/>
    <w:basedOn w:val="Normal"/>
    <w:next w:val="Normal"/>
    <w:link w:val="IntenseQuoteChar"/>
    <w:uiPriority w:val="30"/>
    <w:qFormat/>
    <w:rsid w:val="00E00A76"/>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E00A76"/>
    <w:rPr>
      <w:rFonts w:ascii="Arial" w:hAnsi="Arial"/>
      <w:i/>
      <w:iCs/>
      <w:color w:val="156082" w:themeColor="accent1"/>
      <w:kern w:val="0"/>
      <w:sz w:val="21"/>
      <w:szCs w:val="21"/>
      <w14:ligatures w14:val="none"/>
    </w:rPr>
  </w:style>
  <w:style w:type="character" w:styleId="IntenseReference">
    <w:name w:val="Intense Reference"/>
    <w:basedOn w:val="DefaultParagraphFont"/>
    <w:uiPriority w:val="32"/>
    <w:qFormat/>
    <w:rsid w:val="00E00A76"/>
    <w:rPr>
      <w:b/>
      <w:bCs/>
      <w:smallCaps/>
      <w:color w:val="156082" w:themeColor="accent1"/>
      <w:spacing w:val="5"/>
    </w:rPr>
  </w:style>
  <w:style w:type="paragraph" w:customStyle="1" w:styleId="Num123">
    <w:name w:val="Num_123"/>
    <w:basedOn w:val="BodyText"/>
    <w:qFormat/>
    <w:rsid w:val="008930D7"/>
    <w:pPr>
      <w:numPr>
        <w:numId w:val="3"/>
      </w:numPr>
      <w:tabs>
        <w:tab w:val="clear" w:pos="1418"/>
        <w:tab w:val="num" w:pos="360"/>
      </w:tabs>
      <w:spacing w:before="120" w:line="270" w:lineRule="atLeast"/>
      <w:ind w:left="0" w:firstLine="0"/>
      <w:jc w:val="both"/>
    </w:pPr>
    <w:rPr>
      <w:rFonts w:eastAsia="Times New Roman" w:cs="Times New Roman"/>
      <w:kern w:val="0"/>
      <w:sz w:val="20"/>
      <w:szCs w:val="24"/>
      <w:lang w:eastAsia="de-DE"/>
      <w14:ligatures w14:val="none"/>
    </w:rPr>
  </w:style>
  <w:style w:type="paragraph" w:customStyle="1" w:styleId="Numaa">
    <w:name w:val="Num_aa"/>
    <w:basedOn w:val="BodyText"/>
    <w:qFormat/>
    <w:rsid w:val="008930D7"/>
    <w:pPr>
      <w:numPr>
        <w:ilvl w:val="2"/>
        <w:numId w:val="3"/>
      </w:numPr>
      <w:tabs>
        <w:tab w:val="clear" w:pos="1418"/>
        <w:tab w:val="num" w:pos="360"/>
        <w:tab w:val="num" w:pos="567"/>
      </w:tabs>
      <w:spacing w:before="120" w:line="270" w:lineRule="atLeast"/>
      <w:ind w:left="0" w:firstLine="0"/>
      <w:jc w:val="both"/>
    </w:pPr>
    <w:rPr>
      <w:rFonts w:eastAsia="Times New Roman" w:cs="Times New Roman"/>
      <w:kern w:val="0"/>
      <w:sz w:val="20"/>
      <w:szCs w:val="24"/>
      <w:lang w:eastAsia="de-DE"/>
      <w14:ligatures w14:val="none"/>
    </w:rPr>
  </w:style>
  <w:style w:type="paragraph" w:customStyle="1" w:styleId="Numabc">
    <w:name w:val="Num_abc"/>
    <w:basedOn w:val="BodyText"/>
    <w:qFormat/>
    <w:rsid w:val="008930D7"/>
    <w:pPr>
      <w:numPr>
        <w:ilvl w:val="1"/>
        <w:numId w:val="3"/>
      </w:numPr>
      <w:tabs>
        <w:tab w:val="clear" w:pos="1418"/>
        <w:tab w:val="num" w:pos="360"/>
        <w:tab w:val="num" w:pos="567"/>
      </w:tabs>
      <w:spacing w:before="120" w:line="270" w:lineRule="atLeast"/>
      <w:ind w:left="0" w:firstLine="0"/>
      <w:jc w:val="both"/>
    </w:pPr>
    <w:rPr>
      <w:rFonts w:eastAsia="Times New Roman" w:cs="Times New Roman"/>
      <w:kern w:val="0"/>
      <w:sz w:val="20"/>
      <w:szCs w:val="24"/>
      <w:lang w:eastAsia="de-DE"/>
      <w14:ligatures w14:val="none"/>
    </w:rPr>
  </w:style>
  <w:style w:type="paragraph" w:styleId="BodyText">
    <w:name w:val="Body Text"/>
    <w:basedOn w:val="Normal"/>
    <w:link w:val="BodyTextChar"/>
    <w:uiPriority w:val="99"/>
    <w:semiHidden/>
    <w:unhideWhenUsed/>
    <w:rsid w:val="00E00A76"/>
    <w:pPr>
      <w:spacing w:after="120"/>
    </w:pPr>
  </w:style>
  <w:style w:type="character" w:customStyle="1" w:styleId="BodyTextChar">
    <w:name w:val="Body Text Char"/>
    <w:basedOn w:val="DefaultParagraphFont"/>
    <w:link w:val="BodyText"/>
    <w:uiPriority w:val="99"/>
    <w:semiHidden/>
    <w:rsid w:val="00E00A76"/>
    <w:rPr>
      <w:rFonts w:ascii="Arial" w:hAnsi="Arial"/>
      <w:kern w:val="0"/>
      <w:sz w:val="21"/>
      <w:szCs w:val="21"/>
      <w14:ligatures w14:val="none"/>
    </w:rPr>
  </w:style>
  <w:style w:type="paragraph" w:styleId="TOC4">
    <w:name w:val="toc 4"/>
    <w:basedOn w:val="Normal"/>
    <w:next w:val="Normal"/>
    <w:uiPriority w:val="39"/>
    <w:unhideWhenUsed/>
    <w:rsid w:val="00E00A76"/>
    <w:pPr>
      <w:tabs>
        <w:tab w:val="left" w:leader="dot" w:pos="1134"/>
        <w:tab w:val="right" w:leader="dot" w:pos="4450"/>
      </w:tabs>
      <w:ind w:left="567" w:right="425" w:hanging="567"/>
      <w:contextualSpacing/>
    </w:pPr>
    <w:rPr>
      <w:rFonts w:cs="Arial"/>
      <w:b/>
    </w:rPr>
  </w:style>
  <w:style w:type="paragraph" w:styleId="TOC5">
    <w:name w:val="toc 5"/>
    <w:basedOn w:val="Normal"/>
    <w:next w:val="Normal"/>
    <w:uiPriority w:val="39"/>
    <w:unhideWhenUsed/>
    <w:rsid w:val="00E00A76"/>
    <w:pPr>
      <w:tabs>
        <w:tab w:val="left" w:leader="dot" w:pos="1134"/>
        <w:tab w:val="right" w:leader="dot" w:pos="4450"/>
      </w:tabs>
      <w:ind w:left="567" w:right="425" w:hanging="567"/>
      <w:contextualSpacing/>
    </w:pPr>
    <w:rPr>
      <w:rFonts w:cs="Arial"/>
      <w:b/>
    </w:rPr>
  </w:style>
  <w:style w:type="paragraph" w:styleId="TOC6">
    <w:name w:val="toc 6"/>
    <w:basedOn w:val="Normal"/>
    <w:next w:val="Normal"/>
    <w:uiPriority w:val="39"/>
    <w:unhideWhenUsed/>
    <w:rsid w:val="00E00A76"/>
    <w:pPr>
      <w:tabs>
        <w:tab w:val="left" w:leader="dot" w:pos="1134"/>
        <w:tab w:val="right" w:leader="dot" w:pos="4450"/>
      </w:tabs>
      <w:ind w:left="567" w:right="425" w:hanging="567"/>
      <w:contextualSpacing/>
    </w:pPr>
    <w:rPr>
      <w:rFonts w:cs="Arial"/>
      <w:b/>
    </w:rPr>
  </w:style>
  <w:style w:type="paragraph" w:styleId="TOC7">
    <w:name w:val="toc 7"/>
    <w:basedOn w:val="Normal"/>
    <w:next w:val="Normal"/>
    <w:uiPriority w:val="39"/>
    <w:unhideWhenUsed/>
    <w:rsid w:val="00E00A76"/>
    <w:pPr>
      <w:tabs>
        <w:tab w:val="left" w:leader="dot" w:pos="1134"/>
        <w:tab w:val="right" w:leader="dot" w:pos="4450"/>
      </w:tabs>
      <w:ind w:left="567" w:right="425" w:hanging="567"/>
      <w:contextualSpacing/>
    </w:pPr>
    <w:rPr>
      <w:rFonts w:cs="Arial"/>
      <w:b/>
    </w:rPr>
  </w:style>
  <w:style w:type="paragraph" w:customStyle="1" w:styleId="TWVertragDeckblatt">
    <w:name w:val="TW Vertrag Deckblatt"/>
    <w:basedOn w:val="TWStandard"/>
    <w:rsid w:val="00E00A76"/>
    <w:rPr>
      <w:rFonts w:eastAsia="Times New Roman" w:cs="Times New Roman"/>
    </w:rPr>
  </w:style>
  <w:style w:type="numbering" w:customStyle="1" w:styleId="TWVertragPrambel">
    <w:name w:val="TW Vertrag Präambel"/>
    <w:basedOn w:val="NoList"/>
    <w:uiPriority w:val="99"/>
    <w:rsid w:val="00E00A76"/>
    <w:pPr>
      <w:numPr>
        <w:numId w:val="44"/>
      </w:numPr>
    </w:pPr>
  </w:style>
  <w:style w:type="paragraph" w:customStyle="1" w:styleId="TWKopfzeile">
    <w:name w:val="TW Kopfzeile"/>
    <w:basedOn w:val="TWStandard"/>
    <w:rsid w:val="00E00A76"/>
    <w:pPr>
      <w:tabs>
        <w:tab w:val="center" w:pos="4536"/>
        <w:tab w:val="right" w:pos="9072"/>
      </w:tabs>
    </w:pPr>
    <w:rPr>
      <w:rFonts w:eastAsia="Times New Roman" w:cs="Times New Roman"/>
      <w:lang w:bidi="ar-EG"/>
    </w:rPr>
  </w:style>
  <w:style w:type="numbering" w:customStyle="1" w:styleId="TWSchriftsatz">
    <w:name w:val="TW Schriftsatz"/>
    <w:uiPriority w:val="99"/>
    <w:rsid w:val="00E00A76"/>
    <w:pPr>
      <w:numPr>
        <w:numId w:val="12"/>
      </w:numPr>
    </w:pPr>
  </w:style>
  <w:style w:type="paragraph" w:customStyle="1" w:styleId="TWSchriftsatz7">
    <w:name w:val="TW Schriftsatz7"/>
    <w:basedOn w:val="TWStandard"/>
    <w:next w:val="TWTextebene6"/>
    <w:qFormat/>
    <w:rsid w:val="00E00A76"/>
    <w:pPr>
      <w:numPr>
        <w:ilvl w:val="6"/>
        <w:numId w:val="12"/>
      </w:numPr>
      <w:spacing w:after="240"/>
      <w:outlineLvl w:val="6"/>
    </w:pPr>
  </w:style>
  <w:style w:type="paragraph" w:customStyle="1" w:styleId="TWSchriftsatz1">
    <w:name w:val="TW Schriftsatz1"/>
    <w:basedOn w:val="TWStandard"/>
    <w:next w:val="TWTextebene"/>
    <w:qFormat/>
    <w:rsid w:val="00E00A76"/>
    <w:pPr>
      <w:keepNext/>
      <w:keepLines/>
      <w:numPr>
        <w:numId w:val="12"/>
      </w:numPr>
      <w:spacing w:after="240"/>
      <w:jc w:val="center"/>
      <w:outlineLvl w:val="0"/>
    </w:pPr>
    <w:rPr>
      <w:b/>
    </w:rPr>
  </w:style>
  <w:style w:type="paragraph" w:customStyle="1" w:styleId="TWSchriftsatz2">
    <w:name w:val="TW Schriftsatz2"/>
    <w:basedOn w:val="TWStandard"/>
    <w:next w:val="TWTextebene12"/>
    <w:qFormat/>
    <w:rsid w:val="00E00A76"/>
    <w:pPr>
      <w:keepNext/>
      <w:numPr>
        <w:ilvl w:val="1"/>
        <w:numId w:val="12"/>
      </w:numPr>
      <w:spacing w:after="240"/>
      <w:outlineLvl w:val="1"/>
    </w:pPr>
    <w:rPr>
      <w:b/>
    </w:rPr>
  </w:style>
  <w:style w:type="paragraph" w:customStyle="1" w:styleId="TWSchriftsatz3">
    <w:name w:val="TW Schriftsatz3"/>
    <w:basedOn w:val="TWStandard"/>
    <w:next w:val="TWTextebene12"/>
    <w:qFormat/>
    <w:rsid w:val="00E00A76"/>
    <w:pPr>
      <w:keepNext/>
      <w:numPr>
        <w:ilvl w:val="2"/>
        <w:numId w:val="12"/>
      </w:numPr>
      <w:spacing w:after="240"/>
      <w:outlineLvl w:val="2"/>
    </w:pPr>
  </w:style>
  <w:style w:type="paragraph" w:customStyle="1" w:styleId="TWSchriftsatz4">
    <w:name w:val="TW Schriftsatz4"/>
    <w:basedOn w:val="TWStandard"/>
    <w:next w:val="TWTextebene3"/>
    <w:qFormat/>
    <w:rsid w:val="00E00A76"/>
    <w:pPr>
      <w:keepNext/>
      <w:numPr>
        <w:ilvl w:val="3"/>
        <w:numId w:val="12"/>
      </w:numPr>
      <w:spacing w:after="240"/>
      <w:outlineLvl w:val="3"/>
    </w:pPr>
  </w:style>
  <w:style w:type="paragraph" w:customStyle="1" w:styleId="TWSchriftsatz5">
    <w:name w:val="TW Schriftsatz5"/>
    <w:basedOn w:val="TWStandard"/>
    <w:next w:val="TWTextebene4"/>
    <w:qFormat/>
    <w:rsid w:val="00E00A76"/>
    <w:pPr>
      <w:numPr>
        <w:ilvl w:val="4"/>
        <w:numId w:val="12"/>
      </w:numPr>
      <w:spacing w:after="240"/>
      <w:outlineLvl w:val="4"/>
    </w:pPr>
  </w:style>
  <w:style w:type="paragraph" w:customStyle="1" w:styleId="TWSchriftsatz6">
    <w:name w:val="TW Schriftsatz6"/>
    <w:basedOn w:val="TWStandard"/>
    <w:next w:val="TWTextebene5"/>
    <w:qFormat/>
    <w:rsid w:val="00E00A76"/>
    <w:pPr>
      <w:numPr>
        <w:ilvl w:val="5"/>
        <w:numId w:val="12"/>
      </w:numPr>
      <w:spacing w:after="240"/>
      <w:outlineLvl w:val="5"/>
    </w:pPr>
  </w:style>
  <w:style w:type="paragraph" w:customStyle="1" w:styleId="TWSchriftsatz8">
    <w:name w:val="TW Schriftsatz8"/>
    <w:basedOn w:val="TWStandard"/>
    <w:next w:val="TWTextebene7"/>
    <w:qFormat/>
    <w:rsid w:val="00E00A76"/>
    <w:pPr>
      <w:numPr>
        <w:ilvl w:val="7"/>
        <w:numId w:val="12"/>
      </w:numPr>
      <w:spacing w:after="240"/>
      <w:outlineLvl w:val="7"/>
    </w:pPr>
  </w:style>
  <w:style w:type="paragraph" w:customStyle="1" w:styleId="TWSchriftsatzAnlage">
    <w:name w:val="TW Schriftsatz Anlage"/>
    <w:basedOn w:val="TWStandard"/>
    <w:next w:val="TWStandard"/>
    <w:rsid w:val="00E00A76"/>
    <w:pPr>
      <w:jc w:val="center"/>
    </w:pPr>
    <w:rPr>
      <w:rFonts w:eastAsia="Times New Roman" w:cs="Times New Roman"/>
      <w:b/>
      <w:lang w:bidi="ar-EG"/>
    </w:rPr>
  </w:style>
  <w:style w:type="paragraph" w:customStyle="1" w:styleId="TWSchriftsatzAntrag">
    <w:name w:val="TW Schriftsatz Antrag"/>
    <w:basedOn w:val="TWStandard"/>
    <w:next w:val="TWTextebene"/>
    <w:rsid w:val="00E00A76"/>
    <w:pPr>
      <w:spacing w:after="240"/>
      <w:ind w:left="567"/>
    </w:pPr>
    <w:rPr>
      <w:rFonts w:eastAsia="Times New Roman" w:cs="Times New Roman"/>
      <w:b/>
      <w:lang w:bidi="ar-EG"/>
    </w:rPr>
  </w:style>
  <w:style w:type="paragraph" w:customStyle="1" w:styleId="TWSchriftsatzAntragNummerierung1">
    <w:name w:val="TW Schriftsatz Antrag Nummerierung1"/>
    <w:basedOn w:val="TWSchriftsatzAntrag"/>
    <w:qFormat/>
    <w:rsid w:val="00E00A76"/>
    <w:pPr>
      <w:numPr>
        <w:numId w:val="4"/>
      </w:numPr>
      <w:tabs>
        <w:tab w:val="clear" w:pos="1134"/>
        <w:tab w:val="num" w:pos="1440"/>
      </w:tabs>
    </w:pPr>
    <w:rPr>
      <w:szCs w:val="21"/>
    </w:rPr>
  </w:style>
  <w:style w:type="paragraph" w:customStyle="1" w:styleId="TWStandard">
    <w:name w:val="TW Standard"/>
    <w:qFormat/>
    <w:rsid w:val="00E00A76"/>
    <w:pPr>
      <w:spacing w:after="0" w:line="360" w:lineRule="auto"/>
      <w:jc w:val="both"/>
    </w:pPr>
    <w:rPr>
      <w:rFonts w:ascii="Arial" w:hAnsi="Arial"/>
      <w:kern w:val="0"/>
      <w:sz w:val="21"/>
      <w14:ligatures w14:val="none"/>
    </w:rPr>
  </w:style>
  <w:style w:type="paragraph" w:customStyle="1" w:styleId="TWTabellelinks1">
    <w:name w:val="TW Tabelle links1"/>
    <w:basedOn w:val="TWStandard"/>
    <w:next w:val="TWStandard"/>
    <w:rsid w:val="00E00A76"/>
    <w:pPr>
      <w:numPr>
        <w:numId w:val="29"/>
      </w:numPr>
      <w:spacing w:after="60" w:line="240" w:lineRule="auto"/>
    </w:pPr>
    <w:rPr>
      <w:rFonts w:eastAsia="Times New Roman" w:cs="Times New Roman"/>
      <w:b/>
    </w:rPr>
  </w:style>
  <w:style w:type="paragraph" w:customStyle="1" w:styleId="TWTabellelinks2">
    <w:name w:val="TW Tabelle links2"/>
    <w:basedOn w:val="TWStandard"/>
    <w:next w:val="TWStandard"/>
    <w:rsid w:val="00E00A76"/>
    <w:pPr>
      <w:numPr>
        <w:ilvl w:val="1"/>
        <w:numId w:val="29"/>
      </w:numPr>
      <w:spacing w:after="60" w:line="240" w:lineRule="auto"/>
    </w:pPr>
    <w:rPr>
      <w:rFonts w:eastAsia="Times New Roman" w:cs="Times New Roman"/>
      <w:lang w:bidi="ar-EG"/>
    </w:rPr>
  </w:style>
  <w:style w:type="paragraph" w:customStyle="1" w:styleId="TWTabellelinks3">
    <w:name w:val="TW Tabelle links3"/>
    <w:basedOn w:val="TWStandard"/>
    <w:next w:val="TWStandard"/>
    <w:rsid w:val="00E00A76"/>
    <w:pPr>
      <w:numPr>
        <w:ilvl w:val="2"/>
        <w:numId w:val="29"/>
      </w:numPr>
      <w:spacing w:after="60" w:line="240" w:lineRule="auto"/>
    </w:pPr>
    <w:rPr>
      <w:rFonts w:eastAsia="Times New Roman" w:cs="Times New Roman"/>
    </w:rPr>
  </w:style>
  <w:style w:type="paragraph" w:customStyle="1" w:styleId="TWTabellelinks4">
    <w:name w:val="TW Tabelle links4"/>
    <w:basedOn w:val="TWStandard"/>
    <w:next w:val="TWStandard"/>
    <w:rsid w:val="00E00A76"/>
    <w:pPr>
      <w:numPr>
        <w:ilvl w:val="3"/>
        <w:numId w:val="29"/>
      </w:numPr>
      <w:spacing w:after="60" w:line="240" w:lineRule="auto"/>
    </w:pPr>
    <w:rPr>
      <w:rFonts w:eastAsia="Times New Roman" w:cs="Times New Roman"/>
    </w:rPr>
  </w:style>
  <w:style w:type="paragraph" w:customStyle="1" w:styleId="TWTabellelinks5">
    <w:name w:val="TW Tabelle links5"/>
    <w:basedOn w:val="TWStandard"/>
    <w:next w:val="TWStandard"/>
    <w:rsid w:val="00E00A76"/>
    <w:pPr>
      <w:numPr>
        <w:ilvl w:val="4"/>
        <w:numId w:val="29"/>
      </w:numPr>
      <w:spacing w:after="60" w:line="240" w:lineRule="auto"/>
    </w:pPr>
    <w:rPr>
      <w:rFonts w:eastAsia="Times New Roman" w:cs="Times New Roman"/>
    </w:rPr>
  </w:style>
  <w:style w:type="paragraph" w:customStyle="1" w:styleId="TWTabellelinks6">
    <w:name w:val="TW Tabelle links6"/>
    <w:basedOn w:val="TWStandard"/>
    <w:next w:val="TWStandard"/>
    <w:rsid w:val="00E00A76"/>
    <w:pPr>
      <w:numPr>
        <w:ilvl w:val="5"/>
        <w:numId w:val="29"/>
      </w:numPr>
      <w:spacing w:after="60" w:line="240" w:lineRule="auto"/>
    </w:pPr>
    <w:rPr>
      <w:rFonts w:eastAsia="Times New Roman" w:cs="Times New Roman"/>
      <w:lang w:bidi="ar-EG"/>
    </w:rPr>
  </w:style>
  <w:style w:type="paragraph" w:customStyle="1" w:styleId="TWTabellelinks7">
    <w:name w:val="TW Tabelle links7"/>
    <w:basedOn w:val="TWStandard"/>
    <w:next w:val="TWStandard"/>
    <w:rsid w:val="00E00A76"/>
    <w:pPr>
      <w:numPr>
        <w:ilvl w:val="6"/>
        <w:numId w:val="29"/>
      </w:numPr>
      <w:spacing w:after="60" w:line="240" w:lineRule="auto"/>
    </w:pPr>
    <w:rPr>
      <w:rFonts w:eastAsia="Times New Roman" w:cs="Times New Roman"/>
      <w:lang w:bidi="ar-EG"/>
    </w:rPr>
  </w:style>
  <w:style w:type="paragraph" w:customStyle="1" w:styleId="TWTabellerechts1">
    <w:name w:val="TW Tabelle rechts1"/>
    <w:basedOn w:val="TWStandard"/>
    <w:next w:val="TWStandard"/>
    <w:link w:val="TWTabellerechts1Zchn"/>
    <w:rsid w:val="00E00A76"/>
    <w:pPr>
      <w:numPr>
        <w:numId w:val="33"/>
      </w:numPr>
      <w:spacing w:after="60" w:line="240" w:lineRule="auto"/>
    </w:pPr>
    <w:rPr>
      <w:rFonts w:cs="Arial"/>
      <w:b/>
    </w:rPr>
  </w:style>
  <w:style w:type="character" w:customStyle="1" w:styleId="TWTabellerechts1Zchn">
    <w:name w:val="TW Tabelle rechts1 Zchn"/>
    <w:basedOn w:val="DefaultParagraphFont"/>
    <w:link w:val="TWTabellerechts1"/>
    <w:locked/>
    <w:rsid w:val="00E00A76"/>
    <w:rPr>
      <w:rFonts w:ascii="Arial" w:hAnsi="Arial" w:cs="Arial"/>
      <w:b/>
      <w:kern w:val="0"/>
      <w:sz w:val="21"/>
      <w14:ligatures w14:val="none"/>
    </w:rPr>
  </w:style>
  <w:style w:type="paragraph" w:customStyle="1" w:styleId="TWTabellerechts2">
    <w:name w:val="TW Tabelle rechts2"/>
    <w:basedOn w:val="TWStandard"/>
    <w:next w:val="TWStandard"/>
    <w:rsid w:val="00E00A76"/>
    <w:pPr>
      <w:widowControl w:val="0"/>
      <w:numPr>
        <w:ilvl w:val="1"/>
        <w:numId w:val="33"/>
      </w:numPr>
      <w:autoSpaceDE w:val="0"/>
      <w:autoSpaceDN w:val="0"/>
      <w:adjustRightInd w:val="0"/>
      <w:spacing w:after="60" w:line="240" w:lineRule="auto"/>
    </w:pPr>
    <w:rPr>
      <w:rFonts w:eastAsia="Times New Roman" w:cs="Arial"/>
      <w:szCs w:val="20"/>
      <w:lang w:eastAsia="de-DE"/>
    </w:rPr>
  </w:style>
  <w:style w:type="paragraph" w:customStyle="1" w:styleId="TWTabellerechts3">
    <w:name w:val="TW Tabelle rechts3"/>
    <w:basedOn w:val="TWStandard"/>
    <w:next w:val="TWStandard"/>
    <w:rsid w:val="00E00A76"/>
    <w:pPr>
      <w:widowControl w:val="0"/>
      <w:numPr>
        <w:ilvl w:val="2"/>
        <w:numId w:val="33"/>
      </w:numPr>
      <w:autoSpaceDE w:val="0"/>
      <w:autoSpaceDN w:val="0"/>
      <w:adjustRightInd w:val="0"/>
      <w:spacing w:after="60" w:line="240" w:lineRule="auto"/>
    </w:pPr>
    <w:rPr>
      <w:rFonts w:eastAsia="Times New Roman" w:cs="Arial"/>
      <w:szCs w:val="20"/>
      <w:lang w:eastAsia="de-DE"/>
    </w:rPr>
  </w:style>
  <w:style w:type="paragraph" w:customStyle="1" w:styleId="TWTabellerechts4">
    <w:name w:val="TW Tabelle rechts4"/>
    <w:basedOn w:val="TWStandard"/>
    <w:next w:val="TWStandard"/>
    <w:rsid w:val="00E00A76"/>
    <w:pPr>
      <w:widowControl w:val="0"/>
      <w:numPr>
        <w:ilvl w:val="3"/>
        <w:numId w:val="33"/>
      </w:numPr>
      <w:autoSpaceDE w:val="0"/>
      <w:autoSpaceDN w:val="0"/>
      <w:adjustRightInd w:val="0"/>
      <w:spacing w:after="60" w:line="240" w:lineRule="auto"/>
    </w:pPr>
    <w:rPr>
      <w:rFonts w:eastAsia="Times New Roman" w:cs="Arial"/>
      <w:szCs w:val="20"/>
      <w:lang w:eastAsia="de-DE"/>
    </w:rPr>
  </w:style>
  <w:style w:type="paragraph" w:customStyle="1" w:styleId="TWTabellerechts5">
    <w:name w:val="TW Tabelle rechts5"/>
    <w:basedOn w:val="TWStandard"/>
    <w:next w:val="TWStandard"/>
    <w:rsid w:val="00E00A76"/>
    <w:pPr>
      <w:widowControl w:val="0"/>
      <w:numPr>
        <w:ilvl w:val="4"/>
        <w:numId w:val="33"/>
      </w:numPr>
      <w:autoSpaceDE w:val="0"/>
      <w:autoSpaceDN w:val="0"/>
      <w:adjustRightInd w:val="0"/>
      <w:spacing w:after="60" w:line="240" w:lineRule="auto"/>
    </w:pPr>
    <w:rPr>
      <w:rFonts w:eastAsia="Times New Roman" w:cs="Arial"/>
      <w:szCs w:val="20"/>
      <w:lang w:eastAsia="de-DE"/>
    </w:rPr>
  </w:style>
  <w:style w:type="paragraph" w:customStyle="1" w:styleId="TWTabellerechts6">
    <w:name w:val="TW Tabelle rechts6"/>
    <w:basedOn w:val="TWStandard"/>
    <w:next w:val="TWStandard"/>
    <w:rsid w:val="00E00A76"/>
    <w:pPr>
      <w:numPr>
        <w:ilvl w:val="5"/>
        <w:numId w:val="33"/>
      </w:numPr>
      <w:spacing w:after="60" w:line="240" w:lineRule="auto"/>
    </w:pPr>
    <w:rPr>
      <w:rFonts w:eastAsia="Times New Roman" w:cs="Times New Roman"/>
      <w:lang w:bidi="ar-EG"/>
    </w:rPr>
  </w:style>
  <w:style w:type="paragraph" w:customStyle="1" w:styleId="TWTabellerechts7">
    <w:name w:val="TW Tabelle rechts7"/>
    <w:basedOn w:val="TWStandard"/>
    <w:next w:val="TWStandard"/>
    <w:rsid w:val="00E00A76"/>
    <w:pPr>
      <w:numPr>
        <w:ilvl w:val="6"/>
        <w:numId w:val="33"/>
      </w:numPr>
      <w:spacing w:after="60" w:line="240" w:lineRule="auto"/>
    </w:pPr>
    <w:rPr>
      <w:rFonts w:eastAsia="Times New Roman" w:cs="Times New Roman"/>
      <w:lang w:bidi="ar-EG"/>
    </w:rPr>
  </w:style>
  <w:style w:type="numbering" w:customStyle="1" w:styleId="TWTabellelinks">
    <w:name w:val="TW Tabelle links"/>
    <w:uiPriority w:val="99"/>
    <w:rsid w:val="00E00A76"/>
    <w:pPr>
      <w:numPr>
        <w:numId w:val="7"/>
      </w:numPr>
    </w:pPr>
  </w:style>
  <w:style w:type="numbering" w:customStyle="1" w:styleId="TWTabellerechts">
    <w:name w:val="TW Tabelle rechts"/>
    <w:uiPriority w:val="99"/>
    <w:rsid w:val="00E00A76"/>
    <w:pPr>
      <w:numPr>
        <w:numId w:val="8"/>
      </w:numPr>
    </w:pPr>
  </w:style>
  <w:style w:type="paragraph" w:customStyle="1" w:styleId="TWTabelleSpaltenberschrift">
    <w:name w:val="TW Tabelle Spaltenüberschrift"/>
    <w:basedOn w:val="TWStandard"/>
    <w:next w:val="TWTabelleTextebene"/>
    <w:rsid w:val="00E00A76"/>
    <w:pPr>
      <w:jc w:val="center"/>
    </w:pPr>
    <w:rPr>
      <w:rFonts w:eastAsia="Times New Roman" w:cs="Times New Roman"/>
      <w:b/>
      <w:lang w:bidi="ar-EG"/>
    </w:rPr>
  </w:style>
  <w:style w:type="paragraph" w:customStyle="1" w:styleId="TWTabelleTextebene">
    <w:name w:val="TW Tabelle Textebene"/>
    <w:basedOn w:val="TWStandard"/>
    <w:link w:val="TWTabelleTextebeneZchnZchn"/>
    <w:rsid w:val="00E00A76"/>
    <w:pPr>
      <w:tabs>
        <w:tab w:val="left" w:pos="567"/>
        <w:tab w:val="left" w:pos="1134"/>
        <w:tab w:val="left" w:pos="1701"/>
      </w:tabs>
      <w:spacing w:after="60" w:line="240" w:lineRule="auto"/>
    </w:pPr>
    <w:rPr>
      <w:rFonts w:cs="Arial"/>
      <w:lang w:bidi="ar-EG"/>
    </w:rPr>
  </w:style>
  <w:style w:type="character" w:customStyle="1" w:styleId="TWTabelleTextebeneZchnZchn">
    <w:name w:val="TW Tabelle Textebene Zchn Zchn"/>
    <w:basedOn w:val="DefaultParagraphFont"/>
    <w:link w:val="TWTabelleTextebene"/>
    <w:locked/>
    <w:rsid w:val="00E00A76"/>
    <w:rPr>
      <w:rFonts w:ascii="Arial" w:hAnsi="Arial" w:cs="Arial"/>
      <w:kern w:val="0"/>
      <w:sz w:val="21"/>
      <w:lang w:bidi="ar-EG"/>
      <w14:ligatures w14:val="none"/>
    </w:rPr>
  </w:style>
  <w:style w:type="paragraph" w:customStyle="1" w:styleId="TWTabelleTextebene1-2">
    <w:name w:val="TW Tabelle Textebene 1-2"/>
    <w:basedOn w:val="TWTabelleTextebene"/>
    <w:rsid w:val="00E00A76"/>
    <w:pPr>
      <w:ind w:left="567"/>
    </w:pPr>
    <w:rPr>
      <w:szCs w:val="21"/>
    </w:rPr>
  </w:style>
  <w:style w:type="paragraph" w:customStyle="1" w:styleId="TWTabelleTextebene3-7">
    <w:name w:val="TW Tabelle Textebene 3-7"/>
    <w:basedOn w:val="TWTabelleTextebene"/>
    <w:rsid w:val="00E00A76"/>
    <w:pPr>
      <w:ind w:left="1134"/>
    </w:pPr>
    <w:rPr>
      <w:szCs w:val="21"/>
    </w:rPr>
  </w:style>
  <w:style w:type="paragraph" w:customStyle="1" w:styleId="TWTabelleberschrift">
    <w:name w:val="TW Tabelle Überschrift"/>
    <w:basedOn w:val="TWStandard"/>
    <w:rsid w:val="00E00A76"/>
    <w:pPr>
      <w:jc w:val="center"/>
    </w:pPr>
    <w:rPr>
      <w:rFonts w:ascii="Arial Fett" w:hAnsi="Arial Fett"/>
      <w:caps/>
    </w:rPr>
  </w:style>
  <w:style w:type="paragraph" w:customStyle="1" w:styleId="TWberschrift">
    <w:name w:val="TW Überschrift"/>
    <w:basedOn w:val="TWStandard"/>
    <w:next w:val="TWTextebene"/>
    <w:qFormat/>
    <w:rsid w:val="00E00A76"/>
    <w:pPr>
      <w:keepNext/>
      <w:spacing w:after="240"/>
      <w:outlineLvl w:val="0"/>
    </w:pPr>
    <w:rPr>
      <w:b/>
    </w:rPr>
  </w:style>
  <w:style w:type="paragraph" w:customStyle="1" w:styleId="TWberschriftSeitenumbruch">
    <w:name w:val="TW Überschrift Seitenumbruch"/>
    <w:basedOn w:val="TWberschrift"/>
    <w:next w:val="TWTextebene"/>
    <w:qFormat/>
    <w:rsid w:val="00E00A76"/>
    <w:pPr>
      <w:pageBreakBefore/>
      <w:spacing w:after="340"/>
    </w:pPr>
  </w:style>
  <w:style w:type="paragraph" w:customStyle="1" w:styleId="TWUnterschrift">
    <w:name w:val="TW Unterschrift"/>
    <w:basedOn w:val="TWStandard"/>
    <w:rsid w:val="00E00A76"/>
    <w:pPr>
      <w:tabs>
        <w:tab w:val="left" w:pos="4961"/>
      </w:tabs>
      <w:spacing w:line="240" w:lineRule="auto"/>
    </w:pPr>
    <w:rPr>
      <w:rFonts w:eastAsia="Times New Roman" w:cs="Times New Roman"/>
      <w:lang w:bidi="ar-EG"/>
    </w:rPr>
  </w:style>
  <w:style w:type="paragraph" w:customStyle="1" w:styleId="TWVertragAnlagenverzeichnis">
    <w:name w:val="TW Vertrag Anlagenverzeichnis"/>
    <w:basedOn w:val="TWStandard"/>
    <w:link w:val="TWVertragAnlagenverzeichnisZchnZchn"/>
    <w:qFormat/>
    <w:rsid w:val="00E00A76"/>
    <w:pPr>
      <w:tabs>
        <w:tab w:val="left" w:pos="3969"/>
      </w:tabs>
    </w:pPr>
  </w:style>
  <w:style w:type="character" w:customStyle="1" w:styleId="TWVertragAnlagenverzeichnisZchnZchn">
    <w:name w:val="TW Vertrag Anlagenverzeichnis Zchn Zchn"/>
    <w:basedOn w:val="DefaultParagraphFont"/>
    <w:link w:val="TWVertragAnlagenverzeichnis"/>
    <w:locked/>
    <w:rsid w:val="00E00A76"/>
    <w:rPr>
      <w:rFonts w:ascii="Arial" w:hAnsi="Arial"/>
      <w:kern w:val="0"/>
      <w:sz w:val="21"/>
      <w14:ligatures w14:val="none"/>
    </w:rPr>
  </w:style>
  <w:style w:type="paragraph" w:customStyle="1" w:styleId="TWVertragFuzeile">
    <w:name w:val="TW Vertrag Fußzeile"/>
    <w:basedOn w:val="TWStandard"/>
    <w:rsid w:val="00E00A76"/>
    <w:pPr>
      <w:tabs>
        <w:tab w:val="center" w:pos="4536"/>
        <w:tab w:val="right" w:pos="9072"/>
      </w:tabs>
      <w:spacing w:line="240" w:lineRule="auto"/>
    </w:pPr>
    <w:rPr>
      <w:rFonts w:eastAsia="Times New Roman" w:cs="Times New Roman"/>
      <w:sz w:val="16"/>
      <w:lang w:bidi="ar-EG"/>
    </w:rPr>
  </w:style>
  <w:style w:type="paragraph" w:customStyle="1" w:styleId="TWVertragPrambel1">
    <w:name w:val="TW Vertrag Präambel1"/>
    <w:basedOn w:val="TWStandard"/>
    <w:qFormat/>
    <w:rsid w:val="00E00A76"/>
    <w:pPr>
      <w:numPr>
        <w:numId w:val="44"/>
      </w:numPr>
      <w:spacing w:after="240"/>
    </w:pPr>
  </w:style>
  <w:style w:type="paragraph" w:customStyle="1" w:styleId="TWVertragPrambel2">
    <w:name w:val="TW Vertrag Präambel2"/>
    <w:basedOn w:val="TWStandard"/>
    <w:qFormat/>
    <w:rsid w:val="00E00A76"/>
    <w:pPr>
      <w:numPr>
        <w:ilvl w:val="1"/>
        <w:numId w:val="44"/>
      </w:numPr>
      <w:spacing w:after="240"/>
    </w:pPr>
  </w:style>
  <w:style w:type="paragraph" w:customStyle="1" w:styleId="TWVertragPrambel3">
    <w:name w:val="TW Vertrag Präambel3"/>
    <w:basedOn w:val="TWStandard"/>
    <w:qFormat/>
    <w:rsid w:val="00E00A76"/>
    <w:pPr>
      <w:numPr>
        <w:ilvl w:val="2"/>
        <w:numId w:val="44"/>
      </w:numPr>
      <w:spacing w:after="240"/>
    </w:pPr>
  </w:style>
  <w:style w:type="paragraph" w:customStyle="1" w:styleId="TWVertragTitel">
    <w:name w:val="TW Vertrag Titel"/>
    <w:basedOn w:val="TWStandard"/>
    <w:next w:val="TWTextebene"/>
    <w:qFormat/>
    <w:rsid w:val="00E00A76"/>
    <w:pPr>
      <w:spacing w:after="1440" w:line="240" w:lineRule="auto"/>
      <w:jc w:val="center"/>
    </w:pPr>
    <w:rPr>
      <w:b/>
      <w:caps/>
    </w:rPr>
  </w:style>
  <w:style w:type="numbering" w:customStyle="1" w:styleId="TWSchriftsatzAntragNummerierung">
    <w:name w:val="TW Schriftsatz Antrag Nummerierung"/>
    <w:uiPriority w:val="99"/>
    <w:rsid w:val="00E00A76"/>
    <w:pPr>
      <w:numPr>
        <w:numId w:val="4"/>
      </w:numPr>
    </w:pPr>
  </w:style>
  <w:style w:type="table" w:styleId="TableGrid">
    <w:name w:val="Table Grid"/>
    <w:basedOn w:val="TableNormal"/>
    <w:uiPriority w:val="59"/>
    <w:rsid w:val="00E00A76"/>
    <w:pPr>
      <w:spacing w:after="0" w:line="240" w:lineRule="auto"/>
      <w:jc w:val="both"/>
    </w:pPr>
    <w:rPr>
      <w:rFonts w:ascii="Arial" w:hAnsi="Arial"/>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WBullets1">
    <w:name w:val="TW Bullets1"/>
    <w:basedOn w:val="TWStandard"/>
    <w:qFormat/>
    <w:rsid w:val="00E00A76"/>
    <w:pPr>
      <w:numPr>
        <w:numId w:val="11"/>
      </w:numPr>
      <w:spacing w:after="240"/>
    </w:pPr>
  </w:style>
  <w:style w:type="paragraph" w:customStyle="1" w:styleId="TWBullets2">
    <w:name w:val="TW Bullets2"/>
    <w:basedOn w:val="TWStandard"/>
    <w:qFormat/>
    <w:rsid w:val="00E00A76"/>
    <w:pPr>
      <w:numPr>
        <w:ilvl w:val="1"/>
        <w:numId w:val="11"/>
      </w:numPr>
      <w:spacing w:after="240"/>
    </w:pPr>
  </w:style>
  <w:style w:type="paragraph" w:customStyle="1" w:styleId="TWBullets3">
    <w:name w:val="TW Bullets3"/>
    <w:basedOn w:val="TWStandard"/>
    <w:qFormat/>
    <w:rsid w:val="00E00A76"/>
    <w:pPr>
      <w:numPr>
        <w:ilvl w:val="2"/>
        <w:numId w:val="11"/>
      </w:numPr>
      <w:spacing w:after="240"/>
    </w:pPr>
  </w:style>
  <w:style w:type="paragraph" w:customStyle="1" w:styleId="TWBullets4">
    <w:name w:val="TW Bullets4"/>
    <w:basedOn w:val="TWStandard"/>
    <w:qFormat/>
    <w:rsid w:val="00E00A76"/>
    <w:pPr>
      <w:numPr>
        <w:ilvl w:val="3"/>
        <w:numId w:val="11"/>
      </w:numPr>
      <w:spacing w:after="240"/>
    </w:pPr>
  </w:style>
  <w:style w:type="paragraph" w:customStyle="1" w:styleId="TWBullets5">
    <w:name w:val="TW Bullets5"/>
    <w:basedOn w:val="TWStandard"/>
    <w:qFormat/>
    <w:rsid w:val="00E00A76"/>
    <w:pPr>
      <w:numPr>
        <w:ilvl w:val="4"/>
        <w:numId w:val="11"/>
      </w:numPr>
      <w:spacing w:after="240"/>
    </w:pPr>
  </w:style>
  <w:style w:type="paragraph" w:customStyle="1" w:styleId="TWBullets6">
    <w:name w:val="TW Bullets6"/>
    <w:basedOn w:val="TWStandard"/>
    <w:qFormat/>
    <w:rsid w:val="00E00A76"/>
    <w:pPr>
      <w:numPr>
        <w:ilvl w:val="5"/>
        <w:numId w:val="11"/>
      </w:numPr>
      <w:spacing w:after="240"/>
    </w:pPr>
  </w:style>
  <w:style w:type="paragraph" w:customStyle="1" w:styleId="TWBullets7">
    <w:name w:val="TW Bullets7"/>
    <w:basedOn w:val="TWStandard"/>
    <w:qFormat/>
    <w:rsid w:val="00E00A76"/>
    <w:pPr>
      <w:numPr>
        <w:ilvl w:val="6"/>
        <w:numId w:val="11"/>
      </w:numPr>
      <w:spacing w:after="240"/>
    </w:pPr>
  </w:style>
  <w:style w:type="paragraph" w:customStyle="1" w:styleId="TWMarginalierechts">
    <w:name w:val="TW Marginalie rechts"/>
    <w:basedOn w:val="TWStandard"/>
    <w:next w:val="TWTextebene"/>
    <w:rsid w:val="00E00A76"/>
    <w:pPr>
      <w:keepNext/>
      <w:framePr w:hSpace="284" w:wrap="around" w:vAnchor="text" w:hAnchor="page" w:xAlign="right" w:y="12"/>
      <w:numPr>
        <w:numId w:val="5"/>
      </w:numPr>
      <w:spacing w:line="240" w:lineRule="auto"/>
      <w:jc w:val="right"/>
    </w:pPr>
    <w:rPr>
      <w:rFonts w:eastAsia="Times New Roman" w:cs="Arial"/>
      <w:sz w:val="16"/>
      <w:lang w:val="en-GB"/>
    </w:rPr>
  </w:style>
  <w:style w:type="paragraph" w:customStyle="1" w:styleId="TWMarginalielinks">
    <w:name w:val="TW Marginalie links"/>
    <w:basedOn w:val="TWStandard"/>
    <w:link w:val="TWMarginalielinksZchn"/>
    <w:rsid w:val="00E00A76"/>
    <w:pPr>
      <w:keepNext/>
      <w:framePr w:hSpace="284" w:wrap="around" w:vAnchor="text" w:hAnchor="page" w:y="12"/>
      <w:numPr>
        <w:numId w:val="6"/>
      </w:numPr>
      <w:spacing w:line="240" w:lineRule="auto"/>
      <w:jc w:val="right"/>
    </w:pPr>
    <w:rPr>
      <w:rFonts w:eastAsia="Times New Roman" w:cs="Arial"/>
      <w:sz w:val="16"/>
      <w:lang w:val="en-GB"/>
    </w:rPr>
  </w:style>
  <w:style w:type="character" w:customStyle="1" w:styleId="TWMarginalielinksZchn">
    <w:name w:val="TW Marginalie links Zchn"/>
    <w:basedOn w:val="DefaultParagraphFont"/>
    <w:link w:val="TWMarginalielinks"/>
    <w:rsid w:val="00E00A76"/>
    <w:rPr>
      <w:rFonts w:ascii="Arial" w:eastAsia="Times New Roman" w:hAnsi="Arial" w:cs="Arial"/>
      <w:kern w:val="0"/>
      <w:sz w:val="16"/>
      <w:lang w:val="en-GB"/>
      <w14:ligatures w14:val="none"/>
    </w:rPr>
  </w:style>
  <w:style w:type="paragraph" w:customStyle="1" w:styleId="TWTabelleberschriftlinks">
    <w:name w:val="TW Tabelle Überschrift links"/>
    <w:basedOn w:val="TWTabelleberschrift"/>
    <w:qFormat/>
    <w:rsid w:val="00E00A76"/>
  </w:style>
  <w:style w:type="numbering" w:customStyle="1" w:styleId="TWTabellePrambellinks">
    <w:name w:val="TW Tabelle Präambel links"/>
    <w:uiPriority w:val="99"/>
    <w:rsid w:val="00E00A76"/>
    <w:pPr>
      <w:numPr>
        <w:numId w:val="9"/>
      </w:numPr>
    </w:pPr>
  </w:style>
  <w:style w:type="paragraph" w:customStyle="1" w:styleId="TWTabellePrambellinks1">
    <w:name w:val="TW Tabelle Präambel links1"/>
    <w:basedOn w:val="TWStandard"/>
    <w:qFormat/>
    <w:rsid w:val="00E00A76"/>
    <w:pPr>
      <w:numPr>
        <w:numId w:val="32"/>
      </w:numPr>
      <w:spacing w:after="60" w:line="240" w:lineRule="auto"/>
    </w:pPr>
    <w:rPr>
      <w:rFonts w:cs="Arial"/>
      <w:lang w:bidi="ar-EG"/>
    </w:rPr>
  </w:style>
  <w:style w:type="paragraph" w:customStyle="1" w:styleId="TWTabellePrambellinks2">
    <w:name w:val="TW Tabelle Präambel links2"/>
    <w:basedOn w:val="TWStandard"/>
    <w:qFormat/>
    <w:rsid w:val="00E00A76"/>
    <w:pPr>
      <w:numPr>
        <w:ilvl w:val="1"/>
        <w:numId w:val="32"/>
      </w:numPr>
      <w:spacing w:after="60" w:line="240" w:lineRule="auto"/>
    </w:pPr>
    <w:rPr>
      <w:rFonts w:cs="Arial"/>
      <w:lang w:bidi="ar-EG"/>
    </w:rPr>
  </w:style>
  <w:style w:type="paragraph" w:customStyle="1" w:styleId="TWTabellePrambellinks3">
    <w:name w:val="TW Tabelle Präambel links3"/>
    <w:basedOn w:val="TWStandard"/>
    <w:qFormat/>
    <w:rsid w:val="00E00A76"/>
    <w:pPr>
      <w:numPr>
        <w:ilvl w:val="2"/>
        <w:numId w:val="32"/>
      </w:numPr>
      <w:spacing w:after="60" w:line="240" w:lineRule="auto"/>
    </w:pPr>
    <w:rPr>
      <w:rFonts w:cs="Arial"/>
      <w:lang w:bidi="ar-EG"/>
    </w:rPr>
  </w:style>
  <w:style w:type="numbering" w:customStyle="1" w:styleId="TWTabellePrambelrechts">
    <w:name w:val="TW Tabelle Präambel rechts"/>
    <w:uiPriority w:val="99"/>
    <w:rsid w:val="00E00A76"/>
    <w:pPr>
      <w:numPr>
        <w:numId w:val="10"/>
      </w:numPr>
    </w:pPr>
  </w:style>
  <w:style w:type="paragraph" w:customStyle="1" w:styleId="TWTabellePrambelrechts1">
    <w:name w:val="TW Tabelle Präambel rechts1"/>
    <w:basedOn w:val="TWStandard"/>
    <w:qFormat/>
    <w:rsid w:val="00E00A76"/>
    <w:pPr>
      <w:numPr>
        <w:numId w:val="34"/>
      </w:numPr>
      <w:spacing w:after="60" w:line="240" w:lineRule="auto"/>
    </w:pPr>
  </w:style>
  <w:style w:type="paragraph" w:customStyle="1" w:styleId="TWTabellePrambelrechts2">
    <w:name w:val="TW Tabelle Präambel rechts2"/>
    <w:basedOn w:val="TWStandard"/>
    <w:qFormat/>
    <w:rsid w:val="00E00A76"/>
    <w:pPr>
      <w:numPr>
        <w:ilvl w:val="1"/>
        <w:numId w:val="34"/>
      </w:numPr>
      <w:spacing w:after="60" w:line="240" w:lineRule="auto"/>
    </w:pPr>
  </w:style>
  <w:style w:type="paragraph" w:customStyle="1" w:styleId="TWTabellePrambelrechts3">
    <w:name w:val="TW Tabelle Präambel rechts3"/>
    <w:basedOn w:val="TWStandard"/>
    <w:qFormat/>
    <w:rsid w:val="00E00A76"/>
    <w:pPr>
      <w:numPr>
        <w:ilvl w:val="2"/>
        <w:numId w:val="34"/>
      </w:numPr>
      <w:tabs>
        <w:tab w:val="num" w:pos="567"/>
      </w:tabs>
      <w:spacing w:after="60" w:line="240" w:lineRule="auto"/>
    </w:pPr>
  </w:style>
  <w:style w:type="paragraph" w:customStyle="1" w:styleId="TWTabelleParteienrechts">
    <w:name w:val="TW Tabelle Parteien rechts"/>
    <w:basedOn w:val="TWStandard"/>
    <w:qFormat/>
    <w:rsid w:val="00E00A76"/>
    <w:pPr>
      <w:numPr>
        <w:numId w:val="31"/>
      </w:numPr>
      <w:spacing w:after="60" w:line="240" w:lineRule="auto"/>
      <w:jc w:val="left"/>
    </w:pPr>
  </w:style>
  <w:style w:type="paragraph" w:customStyle="1" w:styleId="TWTabelleParteienlinks">
    <w:name w:val="TW Tabelle Parteien links"/>
    <w:basedOn w:val="TWStandard"/>
    <w:qFormat/>
    <w:rsid w:val="00E00A76"/>
    <w:pPr>
      <w:numPr>
        <w:numId w:val="30"/>
      </w:numPr>
      <w:spacing w:after="60" w:line="240" w:lineRule="auto"/>
      <w:jc w:val="left"/>
    </w:pPr>
  </w:style>
  <w:style w:type="paragraph" w:customStyle="1" w:styleId="TWAdresse">
    <w:name w:val="TW Adresse"/>
    <w:basedOn w:val="TWStandard"/>
    <w:qFormat/>
    <w:rsid w:val="00E00A76"/>
    <w:pPr>
      <w:spacing w:line="240" w:lineRule="auto"/>
      <w:jc w:val="left"/>
    </w:pPr>
  </w:style>
  <w:style w:type="numbering" w:customStyle="1" w:styleId="TWBullets">
    <w:name w:val="TW Bullets"/>
    <w:basedOn w:val="NoList"/>
    <w:uiPriority w:val="99"/>
    <w:rsid w:val="00E00A76"/>
    <w:pPr>
      <w:numPr>
        <w:numId w:val="11"/>
      </w:numPr>
    </w:pPr>
  </w:style>
  <w:style w:type="numbering" w:styleId="111111">
    <w:name w:val="Outline List 2"/>
    <w:basedOn w:val="NoList"/>
    <w:uiPriority w:val="99"/>
    <w:semiHidden/>
    <w:unhideWhenUsed/>
    <w:rsid w:val="00E00A76"/>
    <w:pPr>
      <w:numPr>
        <w:numId w:val="13"/>
      </w:numPr>
    </w:pPr>
  </w:style>
  <w:style w:type="numbering" w:styleId="1ai">
    <w:name w:val="Outline List 1"/>
    <w:basedOn w:val="NoList"/>
    <w:uiPriority w:val="99"/>
    <w:semiHidden/>
    <w:unhideWhenUsed/>
    <w:rsid w:val="00E00A76"/>
    <w:pPr>
      <w:numPr>
        <w:numId w:val="14"/>
      </w:numPr>
    </w:pPr>
  </w:style>
  <w:style w:type="paragraph" w:styleId="TableofFigures">
    <w:name w:val="table of figures"/>
    <w:basedOn w:val="Normal"/>
    <w:next w:val="Normal"/>
    <w:uiPriority w:val="99"/>
    <w:semiHidden/>
    <w:unhideWhenUsed/>
    <w:rsid w:val="00E00A76"/>
  </w:style>
  <w:style w:type="paragraph" w:styleId="Salutation">
    <w:name w:val="Salutation"/>
    <w:basedOn w:val="Normal"/>
    <w:next w:val="Normal"/>
    <w:link w:val="SalutationChar"/>
    <w:uiPriority w:val="99"/>
    <w:semiHidden/>
    <w:unhideWhenUsed/>
    <w:rsid w:val="00E00A76"/>
  </w:style>
  <w:style w:type="character" w:customStyle="1" w:styleId="SalutationChar">
    <w:name w:val="Salutation Char"/>
    <w:basedOn w:val="DefaultParagraphFont"/>
    <w:link w:val="Salutation"/>
    <w:uiPriority w:val="99"/>
    <w:semiHidden/>
    <w:rsid w:val="00E00A76"/>
    <w:rPr>
      <w:rFonts w:ascii="Arial" w:hAnsi="Arial"/>
      <w:kern w:val="0"/>
      <w:sz w:val="21"/>
      <w:szCs w:val="21"/>
      <w14:ligatures w14:val="none"/>
    </w:rPr>
  </w:style>
  <w:style w:type="numbering" w:styleId="ArticleSection">
    <w:name w:val="Outline List 3"/>
    <w:basedOn w:val="NoList"/>
    <w:uiPriority w:val="99"/>
    <w:semiHidden/>
    <w:unhideWhenUsed/>
    <w:rsid w:val="00E00A76"/>
    <w:pPr>
      <w:numPr>
        <w:numId w:val="15"/>
      </w:numPr>
    </w:pPr>
  </w:style>
  <w:style w:type="paragraph" w:styleId="ListBullet">
    <w:name w:val="List Bullet"/>
    <w:basedOn w:val="Normal"/>
    <w:uiPriority w:val="99"/>
    <w:semiHidden/>
    <w:unhideWhenUsed/>
    <w:rsid w:val="00E00A76"/>
    <w:pPr>
      <w:numPr>
        <w:numId w:val="16"/>
      </w:numPr>
      <w:contextualSpacing/>
    </w:pPr>
  </w:style>
  <w:style w:type="paragraph" w:styleId="ListBullet2">
    <w:name w:val="List Bullet 2"/>
    <w:basedOn w:val="Normal"/>
    <w:uiPriority w:val="99"/>
    <w:semiHidden/>
    <w:unhideWhenUsed/>
    <w:rsid w:val="00E00A76"/>
    <w:pPr>
      <w:numPr>
        <w:numId w:val="17"/>
      </w:numPr>
      <w:contextualSpacing/>
    </w:pPr>
  </w:style>
  <w:style w:type="paragraph" w:styleId="ListBullet3">
    <w:name w:val="List Bullet 3"/>
    <w:basedOn w:val="Normal"/>
    <w:uiPriority w:val="99"/>
    <w:semiHidden/>
    <w:unhideWhenUsed/>
    <w:rsid w:val="00E00A76"/>
    <w:pPr>
      <w:numPr>
        <w:numId w:val="18"/>
      </w:numPr>
      <w:contextualSpacing/>
    </w:pPr>
  </w:style>
  <w:style w:type="paragraph" w:styleId="ListBullet4">
    <w:name w:val="List Bullet 4"/>
    <w:basedOn w:val="Normal"/>
    <w:uiPriority w:val="99"/>
    <w:semiHidden/>
    <w:unhideWhenUsed/>
    <w:rsid w:val="00E00A76"/>
    <w:pPr>
      <w:numPr>
        <w:numId w:val="19"/>
      </w:numPr>
      <w:contextualSpacing/>
    </w:pPr>
  </w:style>
  <w:style w:type="paragraph" w:styleId="ListBullet5">
    <w:name w:val="List Bullet 5"/>
    <w:basedOn w:val="Normal"/>
    <w:uiPriority w:val="99"/>
    <w:semiHidden/>
    <w:unhideWhenUsed/>
    <w:rsid w:val="00E00A76"/>
    <w:pPr>
      <w:numPr>
        <w:numId w:val="20"/>
      </w:numPr>
      <w:contextualSpacing/>
    </w:pPr>
  </w:style>
  <w:style w:type="paragraph" w:styleId="Caption">
    <w:name w:val="caption"/>
    <w:basedOn w:val="Normal"/>
    <w:next w:val="Normal"/>
    <w:uiPriority w:val="35"/>
    <w:semiHidden/>
    <w:unhideWhenUsed/>
    <w:qFormat/>
    <w:rsid w:val="00E00A76"/>
    <w:pPr>
      <w:spacing w:after="200"/>
    </w:pPr>
    <w:rPr>
      <w:i/>
      <w:iCs/>
      <w:color w:val="0E2841" w:themeColor="text2"/>
      <w:sz w:val="18"/>
      <w:szCs w:val="18"/>
    </w:rPr>
  </w:style>
  <w:style w:type="character" w:styleId="FollowedHyperlink">
    <w:name w:val="FollowedHyperlink"/>
    <w:basedOn w:val="DefaultParagraphFont"/>
    <w:uiPriority w:val="99"/>
    <w:semiHidden/>
    <w:unhideWhenUsed/>
    <w:rsid w:val="00E00A76"/>
    <w:rPr>
      <w:color w:val="96607D" w:themeColor="followedHyperlink"/>
      <w:u w:val="single"/>
    </w:rPr>
  </w:style>
  <w:style w:type="paragraph" w:styleId="BlockText">
    <w:name w:val="Block Text"/>
    <w:basedOn w:val="Normal"/>
    <w:uiPriority w:val="99"/>
    <w:semiHidden/>
    <w:unhideWhenUsed/>
    <w:rsid w:val="00E00A76"/>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rFonts w:asciiTheme="minorHAnsi" w:eastAsiaTheme="minorEastAsia" w:hAnsiTheme="minorHAnsi"/>
      <w:i/>
      <w:iCs/>
      <w:color w:val="156082" w:themeColor="accent1"/>
    </w:rPr>
  </w:style>
  <w:style w:type="character" w:styleId="BookTitle">
    <w:name w:val="Book Title"/>
    <w:basedOn w:val="DefaultParagraphFont"/>
    <w:uiPriority w:val="33"/>
    <w:qFormat/>
    <w:rsid w:val="00E00A76"/>
    <w:rPr>
      <w:b/>
      <w:bCs/>
      <w:i/>
      <w:iCs/>
      <w:spacing w:val="5"/>
    </w:rPr>
  </w:style>
  <w:style w:type="paragraph" w:styleId="Date">
    <w:name w:val="Date"/>
    <w:basedOn w:val="Normal"/>
    <w:next w:val="Normal"/>
    <w:link w:val="DateChar"/>
    <w:uiPriority w:val="99"/>
    <w:semiHidden/>
    <w:unhideWhenUsed/>
    <w:rsid w:val="00E00A76"/>
  </w:style>
  <w:style w:type="character" w:customStyle="1" w:styleId="DateChar">
    <w:name w:val="Date Char"/>
    <w:basedOn w:val="DefaultParagraphFont"/>
    <w:link w:val="Date"/>
    <w:uiPriority w:val="99"/>
    <w:semiHidden/>
    <w:rsid w:val="00E00A76"/>
    <w:rPr>
      <w:rFonts w:ascii="Arial" w:hAnsi="Arial"/>
      <w:kern w:val="0"/>
      <w:sz w:val="21"/>
      <w:szCs w:val="21"/>
      <w14:ligatures w14:val="none"/>
    </w:rPr>
  </w:style>
  <w:style w:type="paragraph" w:styleId="DocumentMap">
    <w:name w:val="Document Map"/>
    <w:basedOn w:val="Normal"/>
    <w:link w:val="DocumentMapChar"/>
    <w:uiPriority w:val="99"/>
    <w:semiHidden/>
    <w:unhideWhenUsed/>
    <w:rsid w:val="00E00A76"/>
    <w:rPr>
      <w:rFonts w:ascii="Segoe UI" w:hAnsi="Segoe UI" w:cs="Segoe UI"/>
      <w:sz w:val="16"/>
      <w:szCs w:val="16"/>
    </w:rPr>
  </w:style>
  <w:style w:type="character" w:customStyle="1" w:styleId="DocumentMapChar">
    <w:name w:val="Document Map Char"/>
    <w:basedOn w:val="DefaultParagraphFont"/>
    <w:link w:val="DocumentMap"/>
    <w:uiPriority w:val="99"/>
    <w:semiHidden/>
    <w:rsid w:val="00E00A76"/>
    <w:rPr>
      <w:rFonts w:ascii="Segoe UI" w:hAnsi="Segoe UI" w:cs="Segoe UI"/>
      <w:kern w:val="0"/>
      <w:sz w:val="16"/>
      <w:szCs w:val="16"/>
      <w14:ligatures w14:val="none"/>
    </w:rPr>
  </w:style>
  <w:style w:type="table" w:styleId="DarkList">
    <w:name w:val="Dark List"/>
    <w:basedOn w:val="TableNormal"/>
    <w:uiPriority w:val="70"/>
    <w:semiHidden/>
    <w:unhideWhenUsed/>
    <w:rsid w:val="00E00A76"/>
    <w:pPr>
      <w:spacing w:after="0" w:line="240" w:lineRule="auto"/>
      <w:jc w:val="both"/>
    </w:pPr>
    <w:rPr>
      <w:rFonts w:ascii="Arial" w:hAnsi="Arial"/>
      <w:color w:val="FFFFFF" w:themeColor="background1"/>
      <w:kern w:val="0"/>
      <w:sz w:val="21"/>
      <w:szCs w:val="21"/>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E00A76"/>
    <w:pPr>
      <w:spacing w:after="0" w:line="240" w:lineRule="auto"/>
      <w:jc w:val="both"/>
    </w:pPr>
    <w:rPr>
      <w:rFonts w:ascii="Arial" w:hAnsi="Arial"/>
      <w:color w:val="FFFFFF" w:themeColor="background1"/>
      <w:kern w:val="0"/>
      <w:sz w:val="21"/>
      <w:szCs w:val="21"/>
      <w14:ligatures w14:val="none"/>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semiHidden/>
    <w:unhideWhenUsed/>
    <w:rsid w:val="00E00A76"/>
    <w:pPr>
      <w:spacing w:after="0" w:line="240" w:lineRule="auto"/>
      <w:jc w:val="both"/>
    </w:pPr>
    <w:rPr>
      <w:rFonts w:ascii="Arial" w:hAnsi="Arial"/>
      <w:color w:val="FFFFFF" w:themeColor="background1"/>
      <w:kern w:val="0"/>
      <w:sz w:val="21"/>
      <w:szCs w:val="21"/>
      <w14:ligatures w14:val="none"/>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semiHidden/>
    <w:unhideWhenUsed/>
    <w:rsid w:val="00E00A76"/>
    <w:pPr>
      <w:spacing w:after="0" w:line="240" w:lineRule="auto"/>
      <w:jc w:val="both"/>
    </w:pPr>
    <w:rPr>
      <w:rFonts w:ascii="Arial" w:hAnsi="Arial"/>
      <w:color w:val="FFFFFF" w:themeColor="background1"/>
      <w:kern w:val="0"/>
      <w:sz w:val="21"/>
      <w:szCs w:val="21"/>
      <w14:ligatures w14:val="none"/>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semiHidden/>
    <w:unhideWhenUsed/>
    <w:rsid w:val="00E00A76"/>
    <w:pPr>
      <w:spacing w:after="0" w:line="240" w:lineRule="auto"/>
      <w:jc w:val="both"/>
    </w:pPr>
    <w:rPr>
      <w:rFonts w:ascii="Arial" w:hAnsi="Arial"/>
      <w:color w:val="FFFFFF" w:themeColor="background1"/>
      <w:kern w:val="0"/>
      <w:sz w:val="21"/>
      <w:szCs w:val="21"/>
      <w14:ligatures w14:val="none"/>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semiHidden/>
    <w:unhideWhenUsed/>
    <w:rsid w:val="00E00A76"/>
    <w:pPr>
      <w:spacing w:after="0" w:line="240" w:lineRule="auto"/>
      <w:jc w:val="both"/>
    </w:pPr>
    <w:rPr>
      <w:rFonts w:ascii="Arial" w:hAnsi="Arial"/>
      <w:color w:val="FFFFFF" w:themeColor="background1"/>
      <w:kern w:val="0"/>
      <w:sz w:val="21"/>
      <w:szCs w:val="21"/>
      <w14:ligatures w14:val="none"/>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semiHidden/>
    <w:unhideWhenUsed/>
    <w:rsid w:val="00E00A76"/>
    <w:pPr>
      <w:spacing w:after="0" w:line="240" w:lineRule="auto"/>
      <w:jc w:val="both"/>
    </w:pPr>
    <w:rPr>
      <w:rFonts w:ascii="Arial" w:hAnsi="Arial"/>
      <w:color w:val="FFFFFF" w:themeColor="background1"/>
      <w:kern w:val="0"/>
      <w:sz w:val="21"/>
      <w:szCs w:val="21"/>
      <w14:ligatures w14:val="none"/>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PlainTable1">
    <w:name w:val="Plain Table 1"/>
    <w:basedOn w:val="TableNormal"/>
    <w:uiPriority w:val="41"/>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00A76"/>
    <w:pPr>
      <w:spacing w:after="0" w:line="240" w:lineRule="auto"/>
      <w:jc w:val="both"/>
    </w:pPr>
    <w:rPr>
      <w:rFonts w:ascii="Arial" w:hAnsi="Arial"/>
      <w:kern w:val="0"/>
      <w:sz w:val="21"/>
      <w:szCs w:val="21"/>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00A76"/>
    <w:pPr>
      <w:spacing w:after="0" w:line="240" w:lineRule="auto"/>
      <w:jc w:val="both"/>
    </w:pPr>
    <w:rPr>
      <w:rFonts w:ascii="Arial" w:hAnsi="Arial"/>
      <w:kern w:val="0"/>
      <w:sz w:val="21"/>
      <w:szCs w:val="21"/>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E00A76"/>
    <w:pPr>
      <w:spacing w:after="0" w:line="240" w:lineRule="auto"/>
      <w:jc w:val="both"/>
    </w:pPr>
    <w:rPr>
      <w:rFonts w:ascii="Arial" w:hAnsi="Arial"/>
      <w:kern w:val="0"/>
      <w:sz w:val="21"/>
      <w:szCs w:val="21"/>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E-mailSignature">
    <w:name w:val="E-mail Signature"/>
    <w:basedOn w:val="Normal"/>
    <w:link w:val="E-mailSignatureChar"/>
    <w:uiPriority w:val="99"/>
    <w:semiHidden/>
    <w:unhideWhenUsed/>
    <w:rsid w:val="00E00A76"/>
  </w:style>
  <w:style w:type="character" w:customStyle="1" w:styleId="E-mailSignatureChar">
    <w:name w:val="E-mail Signature Char"/>
    <w:basedOn w:val="DefaultParagraphFont"/>
    <w:link w:val="E-mailSignature"/>
    <w:uiPriority w:val="99"/>
    <w:semiHidden/>
    <w:rsid w:val="00E00A76"/>
    <w:rPr>
      <w:rFonts w:ascii="Arial" w:hAnsi="Arial"/>
      <w:kern w:val="0"/>
      <w:sz w:val="21"/>
      <w:szCs w:val="21"/>
      <w14:ligatures w14:val="none"/>
    </w:rPr>
  </w:style>
  <w:style w:type="paragraph" w:styleId="EndnoteText">
    <w:name w:val="endnote text"/>
    <w:basedOn w:val="Normal"/>
    <w:link w:val="EndnoteTextChar"/>
    <w:uiPriority w:val="99"/>
    <w:semiHidden/>
    <w:unhideWhenUsed/>
    <w:rsid w:val="00E00A76"/>
    <w:rPr>
      <w:sz w:val="20"/>
      <w:szCs w:val="20"/>
    </w:rPr>
  </w:style>
  <w:style w:type="character" w:customStyle="1" w:styleId="EndnoteTextChar">
    <w:name w:val="Endnote Text Char"/>
    <w:basedOn w:val="DefaultParagraphFont"/>
    <w:link w:val="EndnoteText"/>
    <w:uiPriority w:val="99"/>
    <w:semiHidden/>
    <w:rsid w:val="00E00A76"/>
    <w:rPr>
      <w:rFonts w:ascii="Arial" w:hAnsi="Arial"/>
      <w:kern w:val="0"/>
      <w:sz w:val="20"/>
      <w:szCs w:val="20"/>
      <w14:ligatures w14:val="none"/>
    </w:rPr>
  </w:style>
  <w:style w:type="character" w:styleId="EndnoteReference">
    <w:name w:val="endnote reference"/>
    <w:basedOn w:val="DefaultParagraphFont"/>
    <w:uiPriority w:val="99"/>
    <w:semiHidden/>
    <w:unhideWhenUsed/>
    <w:rsid w:val="00E00A76"/>
    <w:rPr>
      <w:vertAlign w:val="superscript"/>
    </w:rPr>
  </w:style>
  <w:style w:type="character" w:styleId="Mention">
    <w:name w:val="Mention"/>
    <w:basedOn w:val="DefaultParagraphFont"/>
    <w:uiPriority w:val="99"/>
    <w:semiHidden/>
    <w:unhideWhenUsed/>
    <w:rsid w:val="00E00A76"/>
    <w:rPr>
      <w:color w:val="2B579A"/>
      <w:shd w:val="clear" w:color="auto" w:fill="E1DFDD"/>
    </w:rPr>
  </w:style>
  <w:style w:type="table" w:styleId="ColorfulList">
    <w:name w:val="Colorful List"/>
    <w:basedOn w:val="TableNormal"/>
    <w:uiPriority w:val="72"/>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Grid">
    <w:name w:val="Colorful Grid"/>
    <w:basedOn w:val="TableNormal"/>
    <w:uiPriority w:val="73"/>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styleId="Strong">
    <w:name w:val="Strong"/>
    <w:basedOn w:val="DefaultParagraphFont"/>
    <w:uiPriority w:val="22"/>
    <w:qFormat/>
    <w:rsid w:val="00E00A76"/>
    <w:rPr>
      <w:b/>
      <w:bCs/>
    </w:rPr>
  </w:style>
  <w:style w:type="paragraph" w:styleId="NoteHeading">
    <w:name w:val="Note Heading"/>
    <w:basedOn w:val="Normal"/>
    <w:next w:val="Normal"/>
    <w:link w:val="NoteHeadingChar"/>
    <w:uiPriority w:val="99"/>
    <w:semiHidden/>
    <w:unhideWhenUsed/>
    <w:rsid w:val="00E00A76"/>
  </w:style>
  <w:style w:type="character" w:customStyle="1" w:styleId="NoteHeadingChar">
    <w:name w:val="Note Heading Char"/>
    <w:basedOn w:val="DefaultParagraphFont"/>
    <w:link w:val="NoteHeading"/>
    <w:uiPriority w:val="99"/>
    <w:semiHidden/>
    <w:rsid w:val="00E00A76"/>
    <w:rPr>
      <w:rFonts w:ascii="Arial" w:hAnsi="Arial"/>
      <w:kern w:val="0"/>
      <w:sz w:val="21"/>
      <w:szCs w:val="21"/>
      <w14:ligatures w14:val="none"/>
    </w:rPr>
  </w:style>
  <w:style w:type="paragraph" w:styleId="FootnoteText">
    <w:name w:val="footnote text"/>
    <w:basedOn w:val="Normal"/>
    <w:link w:val="FootnoteTextChar"/>
    <w:semiHidden/>
    <w:unhideWhenUsed/>
    <w:rsid w:val="00E00A76"/>
    <w:rPr>
      <w:sz w:val="20"/>
      <w:szCs w:val="20"/>
    </w:rPr>
  </w:style>
  <w:style w:type="character" w:customStyle="1" w:styleId="FootnoteTextChar">
    <w:name w:val="Footnote Text Char"/>
    <w:basedOn w:val="DefaultParagraphFont"/>
    <w:link w:val="FootnoteText"/>
    <w:semiHidden/>
    <w:rsid w:val="00E00A76"/>
    <w:rPr>
      <w:rFonts w:ascii="Arial" w:hAnsi="Arial"/>
      <w:kern w:val="0"/>
      <w:sz w:val="20"/>
      <w:szCs w:val="20"/>
      <w14:ligatures w14:val="none"/>
    </w:rPr>
  </w:style>
  <w:style w:type="character" w:styleId="FootnoteReference">
    <w:name w:val="footnote reference"/>
    <w:basedOn w:val="DefaultParagraphFont"/>
    <w:semiHidden/>
    <w:unhideWhenUsed/>
    <w:rsid w:val="00E00A76"/>
    <w:rPr>
      <w:vertAlign w:val="superscript"/>
    </w:rPr>
  </w:style>
  <w:style w:type="table" w:styleId="GridTable1Light">
    <w:name w:val="Grid Table 1 Light"/>
    <w:basedOn w:val="TableNormal"/>
    <w:uiPriority w:val="46"/>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2">
    <w:name w:val="Grid Table 2"/>
    <w:basedOn w:val="TableNormal"/>
    <w:uiPriority w:val="47"/>
    <w:rsid w:val="00E00A76"/>
    <w:pPr>
      <w:spacing w:after="0" w:line="240" w:lineRule="auto"/>
      <w:jc w:val="both"/>
    </w:pPr>
    <w:rPr>
      <w:rFonts w:ascii="Arial" w:hAnsi="Arial"/>
      <w:kern w:val="0"/>
      <w:sz w:val="21"/>
      <w:szCs w:val="21"/>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E00A76"/>
    <w:pPr>
      <w:spacing w:after="0" w:line="240" w:lineRule="auto"/>
      <w:jc w:val="both"/>
    </w:pPr>
    <w:rPr>
      <w:rFonts w:ascii="Arial" w:hAnsi="Arial"/>
      <w:kern w:val="0"/>
      <w:sz w:val="21"/>
      <w:szCs w:val="21"/>
      <w14:ligatures w14:val="none"/>
    </w:r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E00A76"/>
    <w:pPr>
      <w:spacing w:after="0" w:line="240" w:lineRule="auto"/>
      <w:jc w:val="both"/>
    </w:pPr>
    <w:rPr>
      <w:rFonts w:ascii="Arial" w:hAnsi="Arial"/>
      <w:kern w:val="0"/>
      <w:sz w:val="21"/>
      <w:szCs w:val="21"/>
      <w14:ligatures w14:val="none"/>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E00A76"/>
    <w:pPr>
      <w:spacing w:after="0" w:line="240" w:lineRule="auto"/>
      <w:jc w:val="both"/>
    </w:pPr>
    <w:rPr>
      <w:rFonts w:ascii="Arial" w:hAnsi="Arial"/>
      <w:kern w:val="0"/>
      <w:sz w:val="21"/>
      <w:szCs w:val="21"/>
      <w14:ligatures w14:val="none"/>
    </w:r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E00A76"/>
    <w:pPr>
      <w:spacing w:after="0" w:line="240" w:lineRule="auto"/>
      <w:jc w:val="both"/>
    </w:pPr>
    <w:rPr>
      <w:rFonts w:ascii="Arial" w:hAnsi="Arial"/>
      <w:kern w:val="0"/>
      <w:sz w:val="21"/>
      <w:szCs w:val="21"/>
      <w14:ligatures w14:val="none"/>
    </w:r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E00A76"/>
    <w:pPr>
      <w:spacing w:after="0" w:line="240" w:lineRule="auto"/>
      <w:jc w:val="both"/>
    </w:pPr>
    <w:rPr>
      <w:rFonts w:ascii="Arial" w:hAnsi="Arial"/>
      <w:kern w:val="0"/>
      <w:sz w:val="21"/>
      <w:szCs w:val="21"/>
      <w14:ligatures w14:val="none"/>
    </w:r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E00A76"/>
    <w:pPr>
      <w:spacing w:after="0" w:line="240" w:lineRule="auto"/>
      <w:jc w:val="both"/>
    </w:pPr>
    <w:rPr>
      <w:rFonts w:ascii="Arial" w:hAnsi="Arial"/>
      <w:kern w:val="0"/>
      <w:sz w:val="21"/>
      <w:szCs w:val="21"/>
      <w14:ligatures w14:val="none"/>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E00A76"/>
    <w:pPr>
      <w:spacing w:after="0" w:line="240" w:lineRule="auto"/>
      <w:jc w:val="both"/>
    </w:pPr>
    <w:rPr>
      <w:rFonts w:ascii="Arial" w:hAnsi="Arial"/>
      <w:color w:val="0F4761" w:themeColor="accent1" w:themeShade="BF"/>
      <w:kern w:val="0"/>
      <w:sz w:val="21"/>
      <w:szCs w:val="21"/>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E00A76"/>
    <w:pPr>
      <w:spacing w:after="0" w:line="240" w:lineRule="auto"/>
      <w:jc w:val="both"/>
    </w:pPr>
    <w:rPr>
      <w:rFonts w:ascii="Arial" w:hAnsi="Arial"/>
      <w:color w:val="BF4E14" w:themeColor="accent2" w:themeShade="BF"/>
      <w:kern w:val="0"/>
      <w:sz w:val="21"/>
      <w:szCs w:val="21"/>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E00A76"/>
    <w:pPr>
      <w:spacing w:after="0" w:line="240" w:lineRule="auto"/>
      <w:jc w:val="both"/>
    </w:pPr>
    <w:rPr>
      <w:rFonts w:ascii="Arial" w:hAnsi="Arial"/>
      <w:color w:val="124F1A" w:themeColor="accent3" w:themeShade="BF"/>
      <w:kern w:val="0"/>
      <w:sz w:val="21"/>
      <w:szCs w:val="21"/>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E00A76"/>
    <w:pPr>
      <w:spacing w:after="0" w:line="240" w:lineRule="auto"/>
      <w:jc w:val="both"/>
    </w:pPr>
    <w:rPr>
      <w:rFonts w:ascii="Arial" w:hAnsi="Arial"/>
      <w:color w:val="0B769F" w:themeColor="accent4" w:themeShade="BF"/>
      <w:kern w:val="0"/>
      <w:sz w:val="21"/>
      <w:szCs w:val="21"/>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E00A76"/>
    <w:pPr>
      <w:spacing w:after="0" w:line="240" w:lineRule="auto"/>
      <w:jc w:val="both"/>
    </w:pPr>
    <w:rPr>
      <w:rFonts w:ascii="Arial" w:hAnsi="Arial"/>
      <w:color w:val="77206D" w:themeColor="accent5" w:themeShade="BF"/>
      <w:kern w:val="0"/>
      <w:sz w:val="21"/>
      <w:szCs w:val="21"/>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E00A76"/>
    <w:pPr>
      <w:spacing w:after="0" w:line="240" w:lineRule="auto"/>
      <w:jc w:val="both"/>
    </w:pPr>
    <w:rPr>
      <w:rFonts w:ascii="Arial" w:hAnsi="Arial"/>
      <w:color w:val="3A7C22" w:themeColor="accent6" w:themeShade="BF"/>
      <w:kern w:val="0"/>
      <w:sz w:val="21"/>
      <w:szCs w:val="21"/>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E00A76"/>
    <w:pPr>
      <w:spacing w:after="0" w:line="240" w:lineRule="auto"/>
      <w:jc w:val="both"/>
    </w:pPr>
    <w:rPr>
      <w:rFonts w:ascii="Arial" w:hAnsi="Arial"/>
      <w:color w:val="0F4761" w:themeColor="accent1" w:themeShade="BF"/>
      <w:kern w:val="0"/>
      <w:sz w:val="21"/>
      <w:szCs w:val="21"/>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E00A76"/>
    <w:pPr>
      <w:spacing w:after="0" w:line="240" w:lineRule="auto"/>
      <w:jc w:val="both"/>
    </w:pPr>
    <w:rPr>
      <w:rFonts w:ascii="Arial" w:hAnsi="Arial"/>
      <w:color w:val="BF4E14" w:themeColor="accent2" w:themeShade="BF"/>
      <w:kern w:val="0"/>
      <w:sz w:val="21"/>
      <w:szCs w:val="21"/>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E00A76"/>
    <w:pPr>
      <w:spacing w:after="0" w:line="240" w:lineRule="auto"/>
      <w:jc w:val="both"/>
    </w:pPr>
    <w:rPr>
      <w:rFonts w:ascii="Arial" w:hAnsi="Arial"/>
      <w:color w:val="124F1A" w:themeColor="accent3" w:themeShade="BF"/>
      <w:kern w:val="0"/>
      <w:sz w:val="21"/>
      <w:szCs w:val="21"/>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E00A76"/>
    <w:pPr>
      <w:spacing w:after="0" w:line="240" w:lineRule="auto"/>
      <w:jc w:val="both"/>
    </w:pPr>
    <w:rPr>
      <w:rFonts w:ascii="Arial" w:hAnsi="Arial"/>
      <w:color w:val="0B769F" w:themeColor="accent4" w:themeShade="BF"/>
      <w:kern w:val="0"/>
      <w:sz w:val="21"/>
      <w:szCs w:val="21"/>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E00A76"/>
    <w:pPr>
      <w:spacing w:after="0" w:line="240" w:lineRule="auto"/>
      <w:jc w:val="both"/>
    </w:pPr>
    <w:rPr>
      <w:rFonts w:ascii="Arial" w:hAnsi="Arial"/>
      <w:color w:val="77206D" w:themeColor="accent5" w:themeShade="BF"/>
      <w:kern w:val="0"/>
      <w:sz w:val="21"/>
      <w:szCs w:val="21"/>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E00A76"/>
    <w:pPr>
      <w:spacing w:after="0" w:line="240" w:lineRule="auto"/>
      <w:jc w:val="both"/>
    </w:pPr>
    <w:rPr>
      <w:rFonts w:ascii="Arial" w:hAnsi="Arial"/>
      <w:color w:val="3A7C22" w:themeColor="accent6" w:themeShade="BF"/>
      <w:kern w:val="0"/>
      <w:sz w:val="21"/>
      <w:szCs w:val="21"/>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paragraph" w:styleId="Closing">
    <w:name w:val="Closing"/>
    <w:basedOn w:val="Normal"/>
    <w:link w:val="ClosingChar"/>
    <w:uiPriority w:val="99"/>
    <w:semiHidden/>
    <w:unhideWhenUsed/>
    <w:rsid w:val="00E00A76"/>
    <w:pPr>
      <w:ind w:left="4252"/>
    </w:pPr>
  </w:style>
  <w:style w:type="character" w:customStyle="1" w:styleId="ClosingChar">
    <w:name w:val="Closing Char"/>
    <w:basedOn w:val="DefaultParagraphFont"/>
    <w:link w:val="Closing"/>
    <w:uiPriority w:val="99"/>
    <w:semiHidden/>
    <w:rsid w:val="00E00A76"/>
    <w:rPr>
      <w:rFonts w:ascii="Arial" w:hAnsi="Arial"/>
      <w:kern w:val="0"/>
      <w:sz w:val="21"/>
      <w:szCs w:val="21"/>
      <w14:ligatures w14:val="none"/>
    </w:rPr>
  </w:style>
  <w:style w:type="character" w:styleId="Hashtag">
    <w:name w:val="Hashtag"/>
    <w:basedOn w:val="DefaultParagraphFont"/>
    <w:uiPriority w:val="99"/>
    <w:semiHidden/>
    <w:unhideWhenUsed/>
    <w:rsid w:val="00E00A76"/>
    <w:rPr>
      <w:color w:val="2B579A"/>
      <w:shd w:val="clear" w:color="auto" w:fill="E1DFDD"/>
    </w:rPr>
  </w:style>
  <w:style w:type="table" w:styleId="LightList">
    <w:name w:val="Light List"/>
    <w:basedOn w:val="TableNormal"/>
    <w:uiPriority w:val="61"/>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semiHidden/>
    <w:unhideWhenUsed/>
    <w:rsid w:val="00E00A76"/>
    <w:pPr>
      <w:spacing w:after="0" w:line="240" w:lineRule="auto"/>
      <w:jc w:val="both"/>
    </w:pPr>
    <w:rPr>
      <w:rFonts w:ascii="Arial" w:hAnsi="Arial"/>
      <w:color w:val="000000" w:themeColor="text1" w:themeShade="BF"/>
      <w:kern w:val="0"/>
      <w:sz w:val="21"/>
      <w:szCs w:val="21"/>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E00A76"/>
    <w:pPr>
      <w:spacing w:after="0" w:line="240" w:lineRule="auto"/>
      <w:jc w:val="both"/>
    </w:pPr>
    <w:rPr>
      <w:rFonts w:ascii="Arial" w:hAnsi="Arial"/>
      <w:color w:val="0F4761" w:themeColor="accent1" w:themeShade="BF"/>
      <w:kern w:val="0"/>
      <w:sz w:val="21"/>
      <w:szCs w:val="21"/>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semiHidden/>
    <w:unhideWhenUsed/>
    <w:rsid w:val="00E00A76"/>
    <w:pPr>
      <w:spacing w:after="0" w:line="240" w:lineRule="auto"/>
      <w:jc w:val="both"/>
    </w:pPr>
    <w:rPr>
      <w:rFonts w:ascii="Arial" w:hAnsi="Arial"/>
      <w:color w:val="BF4E14" w:themeColor="accent2" w:themeShade="BF"/>
      <w:kern w:val="0"/>
      <w:sz w:val="21"/>
      <w:szCs w:val="21"/>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semiHidden/>
    <w:unhideWhenUsed/>
    <w:rsid w:val="00E00A76"/>
    <w:pPr>
      <w:spacing w:after="0" w:line="240" w:lineRule="auto"/>
      <w:jc w:val="both"/>
    </w:pPr>
    <w:rPr>
      <w:rFonts w:ascii="Arial" w:hAnsi="Arial"/>
      <w:color w:val="124F1A" w:themeColor="accent3" w:themeShade="BF"/>
      <w:kern w:val="0"/>
      <w:sz w:val="21"/>
      <w:szCs w:val="21"/>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semiHidden/>
    <w:unhideWhenUsed/>
    <w:rsid w:val="00E00A76"/>
    <w:pPr>
      <w:spacing w:after="0" w:line="240" w:lineRule="auto"/>
      <w:jc w:val="both"/>
    </w:pPr>
    <w:rPr>
      <w:rFonts w:ascii="Arial" w:hAnsi="Arial"/>
      <w:color w:val="0B769F" w:themeColor="accent4" w:themeShade="BF"/>
      <w:kern w:val="0"/>
      <w:sz w:val="21"/>
      <w:szCs w:val="21"/>
      <w14:ligatures w14:val="none"/>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semiHidden/>
    <w:unhideWhenUsed/>
    <w:rsid w:val="00E00A76"/>
    <w:pPr>
      <w:spacing w:after="0" w:line="240" w:lineRule="auto"/>
      <w:jc w:val="both"/>
    </w:pPr>
    <w:rPr>
      <w:rFonts w:ascii="Arial" w:hAnsi="Arial"/>
      <w:color w:val="77206D" w:themeColor="accent5" w:themeShade="BF"/>
      <w:kern w:val="0"/>
      <w:sz w:val="21"/>
      <w:szCs w:val="21"/>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semiHidden/>
    <w:unhideWhenUsed/>
    <w:rsid w:val="00E00A76"/>
    <w:pPr>
      <w:spacing w:after="0" w:line="240" w:lineRule="auto"/>
      <w:jc w:val="both"/>
    </w:pPr>
    <w:rPr>
      <w:rFonts w:ascii="Arial" w:hAnsi="Arial"/>
      <w:color w:val="3A7C22" w:themeColor="accent6" w:themeShade="BF"/>
      <w:kern w:val="0"/>
      <w:sz w:val="21"/>
      <w:szCs w:val="21"/>
      <w14:ligatures w14:val="none"/>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Grid">
    <w:name w:val="Light Grid"/>
    <w:basedOn w:val="TableNormal"/>
    <w:uiPriority w:val="62"/>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character" w:styleId="Emphasis">
    <w:name w:val="Emphasis"/>
    <w:basedOn w:val="DefaultParagraphFont"/>
    <w:uiPriority w:val="20"/>
    <w:qFormat/>
    <w:rsid w:val="00E00A76"/>
    <w:rPr>
      <w:i/>
      <w:iCs/>
    </w:rPr>
  </w:style>
  <w:style w:type="paragraph" w:styleId="HTMLAddress">
    <w:name w:val="HTML Address"/>
    <w:basedOn w:val="Normal"/>
    <w:link w:val="HTMLAddressChar"/>
    <w:uiPriority w:val="99"/>
    <w:semiHidden/>
    <w:unhideWhenUsed/>
    <w:rsid w:val="00E00A76"/>
    <w:rPr>
      <w:i/>
      <w:iCs/>
    </w:rPr>
  </w:style>
  <w:style w:type="character" w:customStyle="1" w:styleId="HTMLAddressChar">
    <w:name w:val="HTML Address Char"/>
    <w:basedOn w:val="DefaultParagraphFont"/>
    <w:link w:val="HTMLAddress"/>
    <w:uiPriority w:val="99"/>
    <w:semiHidden/>
    <w:rsid w:val="00E00A76"/>
    <w:rPr>
      <w:rFonts w:ascii="Arial" w:hAnsi="Arial"/>
      <w:i/>
      <w:iCs/>
      <w:kern w:val="0"/>
      <w:sz w:val="21"/>
      <w:szCs w:val="21"/>
      <w14:ligatures w14:val="none"/>
    </w:rPr>
  </w:style>
  <w:style w:type="character" w:styleId="HTMLAcronym">
    <w:name w:val="HTML Acronym"/>
    <w:basedOn w:val="DefaultParagraphFont"/>
    <w:uiPriority w:val="99"/>
    <w:semiHidden/>
    <w:unhideWhenUsed/>
    <w:rsid w:val="00E00A76"/>
  </w:style>
  <w:style w:type="character" w:styleId="HTMLSample">
    <w:name w:val="HTML Sample"/>
    <w:basedOn w:val="DefaultParagraphFont"/>
    <w:uiPriority w:val="99"/>
    <w:semiHidden/>
    <w:unhideWhenUsed/>
    <w:rsid w:val="00E00A76"/>
    <w:rPr>
      <w:rFonts w:ascii="Consolas" w:hAnsi="Consolas"/>
      <w:sz w:val="24"/>
      <w:szCs w:val="24"/>
    </w:rPr>
  </w:style>
  <w:style w:type="character" w:styleId="HTMLCode">
    <w:name w:val="HTML Code"/>
    <w:basedOn w:val="DefaultParagraphFont"/>
    <w:uiPriority w:val="99"/>
    <w:semiHidden/>
    <w:unhideWhenUsed/>
    <w:rsid w:val="00E00A76"/>
    <w:rPr>
      <w:rFonts w:ascii="Consolas" w:hAnsi="Consolas"/>
      <w:sz w:val="20"/>
      <w:szCs w:val="20"/>
    </w:rPr>
  </w:style>
  <w:style w:type="character" w:styleId="HTMLDefinition">
    <w:name w:val="HTML Definition"/>
    <w:basedOn w:val="DefaultParagraphFont"/>
    <w:uiPriority w:val="99"/>
    <w:semiHidden/>
    <w:unhideWhenUsed/>
    <w:rsid w:val="00E00A76"/>
    <w:rPr>
      <w:i/>
      <w:iCs/>
    </w:rPr>
  </w:style>
  <w:style w:type="character" w:styleId="HTMLTypewriter">
    <w:name w:val="HTML Typewriter"/>
    <w:basedOn w:val="DefaultParagraphFont"/>
    <w:uiPriority w:val="99"/>
    <w:semiHidden/>
    <w:unhideWhenUsed/>
    <w:rsid w:val="00E00A76"/>
    <w:rPr>
      <w:rFonts w:ascii="Consolas" w:hAnsi="Consolas"/>
      <w:sz w:val="20"/>
      <w:szCs w:val="20"/>
    </w:rPr>
  </w:style>
  <w:style w:type="character" w:styleId="HTMLKeyboard">
    <w:name w:val="HTML Keyboard"/>
    <w:basedOn w:val="DefaultParagraphFont"/>
    <w:uiPriority w:val="99"/>
    <w:semiHidden/>
    <w:unhideWhenUsed/>
    <w:rsid w:val="00E00A76"/>
    <w:rPr>
      <w:rFonts w:ascii="Consolas" w:hAnsi="Consolas"/>
      <w:sz w:val="20"/>
      <w:szCs w:val="20"/>
    </w:rPr>
  </w:style>
  <w:style w:type="character" w:styleId="HTMLVariable">
    <w:name w:val="HTML Variable"/>
    <w:basedOn w:val="DefaultParagraphFont"/>
    <w:uiPriority w:val="99"/>
    <w:semiHidden/>
    <w:unhideWhenUsed/>
    <w:rsid w:val="00E00A76"/>
    <w:rPr>
      <w:i/>
      <w:iCs/>
    </w:rPr>
  </w:style>
  <w:style w:type="paragraph" w:styleId="HTMLPreformatted">
    <w:name w:val="HTML Preformatted"/>
    <w:basedOn w:val="Normal"/>
    <w:link w:val="HTMLPreformattedChar"/>
    <w:uiPriority w:val="99"/>
    <w:semiHidden/>
    <w:unhideWhenUsed/>
    <w:rsid w:val="00E00A7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00A76"/>
    <w:rPr>
      <w:rFonts w:ascii="Consolas" w:hAnsi="Consolas"/>
      <w:kern w:val="0"/>
      <w:sz w:val="20"/>
      <w:szCs w:val="20"/>
      <w14:ligatures w14:val="none"/>
    </w:rPr>
  </w:style>
  <w:style w:type="character" w:styleId="HTMLCite">
    <w:name w:val="HTML Cite"/>
    <w:basedOn w:val="DefaultParagraphFont"/>
    <w:uiPriority w:val="99"/>
    <w:semiHidden/>
    <w:unhideWhenUsed/>
    <w:rsid w:val="00E00A76"/>
    <w:rPr>
      <w:i/>
      <w:iCs/>
    </w:rPr>
  </w:style>
  <w:style w:type="character" w:styleId="Hyperlink">
    <w:name w:val="Hyperlink"/>
    <w:basedOn w:val="DefaultParagraphFont"/>
    <w:uiPriority w:val="99"/>
    <w:unhideWhenUsed/>
    <w:rsid w:val="00E00A76"/>
    <w:rPr>
      <w:color w:val="467886" w:themeColor="hyperlink"/>
      <w:u w:val="single"/>
    </w:rPr>
  </w:style>
  <w:style w:type="paragraph" w:styleId="Index1">
    <w:name w:val="index 1"/>
    <w:basedOn w:val="Normal"/>
    <w:next w:val="Normal"/>
    <w:autoRedefine/>
    <w:uiPriority w:val="99"/>
    <w:semiHidden/>
    <w:unhideWhenUsed/>
    <w:rsid w:val="00E00A76"/>
    <w:pPr>
      <w:ind w:left="210" w:hanging="210"/>
    </w:pPr>
  </w:style>
  <w:style w:type="paragraph" w:styleId="Index2">
    <w:name w:val="index 2"/>
    <w:basedOn w:val="Normal"/>
    <w:next w:val="Normal"/>
    <w:autoRedefine/>
    <w:uiPriority w:val="99"/>
    <w:semiHidden/>
    <w:unhideWhenUsed/>
    <w:rsid w:val="00E00A76"/>
    <w:pPr>
      <w:ind w:left="420" w:hanging="210"/>
    </w:pPr>
  </w:style>
  <w:style w:type="paragraph" w:styleId="Index3">
    <w:name w:val="index 3"/>
    <w:basedOn w:val="Normal"/>
    <w:next w:val="Normal"/>
    <w:autoRedefine/>
    <w:uiPriority w:val="99"/>
    <w:semiHidden/>
    <w:unhideWhenUsed/>
    <w:rsid w:val="00E00A76"/>
    <w:pPr>
      <w:ind w:left="630" w:hanging="210"/>
    </w:pPr>
  </w:style>
  <w:style w:type="paragraph" w:styleId="Index4">
    <w:name w:val="index 4"/>
    <w:basedOn w:val="Normal"/>
    <w:next w:val="Normal"/>
    <w:autoRedefine/>
    <w:uiPriority w:val="99"/>
    <w:semiHidden/>
    <w:unhideWhenUsed/>
    <w:rsid w:val="00E00A76"/>
    <w:pPr>
      <w:ind w:left="840" w:hanging="210"/>
    </w:pPr>
  </w:style>
  <w:style w:type="paragraph" w:styleId="Index5">
    <w:name w:val="index 5"/>
    <w:basedOn w:val="Normal"/>
    <w:next w:val="Normal"/>
    <w:autoRedefine/>
    <w:uiPriority w:val="99"/>
    <w:semiHidden/>
    <w:unhideWhenUsed/>
    <w:rsid w:val="00E00A76"/>
    <w:pPr>
      <w:ind w:left="1050" w:hanging="210"/>
    </w:pPr>
  </w:style>
  <w:style w:type="paragraph" w:styleId="Index6">
    <w:name w:val="index 6"/>
    <w:basedOn w:val="Normal"/>
    <w:next w:val="Normal"/>
    <w:autoRedefine/>
    <w:uiPriority w:val="99"/>
    <w:semiHidden/>
    <w:unhideWhenUsed/>
    <w:rsid w:val="00E00A76"/>
    <w:pPr>
      <w:ind w:left="1260" w:hanging="210"/>
    </w:pPr>
  </w:style>
  <w:style w:type="paragraph" w:styleId="Index7">
    <w:name w:val="index 7"/>
    <w:basedOn w:val="Normal"/>
    <w:next w:val="Normal"/>
    <w:autoRedefine/>
    <w:uiPriority w:val="99"/>
    <w:semiHidden/>
    <w:unhideWhenUsed/>
    <w:rsid w:val="00E00A76"/>
    <w:pPr>
      <w:ind w:left="1470" w:hanging="210"/>
    </w:pPr>
  </w:style>
  <w:style w:type="paragraph" w:styleId="Index8">
    <w:name w:val="index 8"/>
    <w:basedOn w:val="Normal"/>
    <w:next w:val="Normal"/>
    <w:autoRedefine/>
    <w:uiPriority w:val="99"/>
    <w:semiHidden/>
    <w:unhideWhenUsed/>
    <w:rsid w:val="00E00A76"/>
    <w:pPr>
      <w:ind w:left="1680" w:hanging="210"/>
    </w:pPr>
  </w:style>
  <w:style w:type="paragraph" w:styleId="Index9">
    <w:name w:val="index 9"/>
    <w:basedOn w:val="Normal"/>
    <w:next w:val="Normal"/>
    <w:autoRedefine/>
    <w:uiPriority w:val="99"/>
    <w:semiHidden/>
    <w:unhideWhenUsed/>
    <w:rsid w:val="00E00A76"/>
    <w:pPr>
      <w:ind w:left="1890" w:hanging="210"/>
    </w:pPr>
  </w:style>
  <w:style w:type="paragraph" w:styleId="IndexHeading">
    <w:name w:val="index heading"/>
    <w:basedOn w:val="Normal"/>
    <w:next w:val="Index1"/>
    <w:uiPriority w:val="99"/>
    <w:semiHidden/>
    <w:unhideWhenUsed/>
    <w:rsid w:val="00E00A76"/>
    <w:rPr>
      <w:rFonts w:asciiTheme="majorHAnsi" w:eastAsiaTheme="majorEastAsia" w:hAnsiTheme="majorHAnsi" w:cstheme="majorBidi"/>
      <w:b/>
      <w:bCs/>
    </w:rPr>
  </w:style>
  <w:style w:type="paragraph" w:styleId="TOCHeading">
    <w:name w:val="TOC Heading"/>
    <w:basedOn w:val="Heading1"/>
    <w:next w:val="Normal"/>
    <w:uiPriority w:val="39"/>
    <w:semiHidden/>
    <w:unhideWhenUsed/>
    <w:qFormat/>
    <w:rsid w:val="00E00A76"/>
    <w:pPr>
      <w:numPr>
        <w:numId w:val="0"/>
      </w:numPr>
      <w:outlineLvl w:val="9"/>
    </w:pPr>
  </w:style>
  <w:style w:type="paragraph" w:styleId="NoSpacing">
    <w:name w:val="No Spacing"/>
    <w:uiPriority w:val="1"/>
    <w:qFormat/>
    <w:rsid w:val="00E00A76"/>
    <w:pPr>
      <w:spacing w:after="0" w:line="240" w:lineRule="auto"/>
      <w:jc w:val="both"/>
    </w:pPr>
    <w:rPr>
      <w:rFonts w:ascii="Arial" w:hAnsi="Arial"/>
      <w:kern w:val="0"/>
      <w:sz w:val="21"/>
      <w:szCs w:val="21"/>
      <w14:ligatures w14:val="none"/>
    </w:rPr>
  </w:style>
  <w:style w:type="paragraph" w:styleId="CommentText">
    <w:name w:val="annotation text"/>
    <w:basedOn w:val="Normal"/>
    <w:link w:val="CommentTextChar"/>
    <w:uiPriority w:val="99"/>
    <w:unhideWhenUsed/>
    <w:rsid w:val="00E00A76"/>
    <w:rPr>
      <w:sz w:val="20"/>
      <w:szCs w:val="20"/>
    </w:rPr>
  </w:style>
  <w:style w:type="character" w:customStyle="1" w:styleId="CommentTextChar">
    <w:name w:val="Comment Text Char"/>
    <w:basedOn w:val="DefaultParagraphFont"/>
    <w:link w:val="CommentText"/>
    <w:uiPriority w:val="99"/>
    <w:rsid w:val="00E00A76"/>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00A76"/>
    <w:rPr>
      <w:b/>
      <w:bCs/>
    </w:rPr>
  </w:style>
  <w:style w:type="character" w:customStyle="1" w:styleId="CommentSubjectChar">
    <w:name w:val="Comment Subject Char"/>
    <w:basedOn w:val="CommentTextChar"/>
    <w:link w:val="CommentSubject"/>
    <w:uiPriority w:val="99"/>
    <w:semiHidden/>
    <w:rsid w:val="00E00A76"/>
    <w:rPr>
      <w:rFonts w:ascii="Arial" w:hAnsi="Arial"/>
      <w:b/>
      <w:bCs/>
      <w:kern w:val="0"/>
      <w:sz w:val="20"/>
      <w:szCs w:val="20"/>
      <w14:ligatures w14:val="none"/>
    </w:rPr>
  </w:style>
  <w:style w:type="character" w:styleId="CommentReference">
    <w:name w:val="annotation reference"/>
    <w:basedOn w:val="DefaultParagraphFont"/>
    <w:uiPriority w:val="99"/>
    <w:semiHidden/>
    <w:unhideWhenUsed/>
    <w:rsid w:val="00E00A76"/>
    <w:rPr>
      <w:sz w:val="16"/>
      <w:szCs w:val="16"/>
    </w:rPr>
  </w:style>
  <w:style w:type="paragraph" w:styleId="List">
    <w:name w:val="List"/>
    <w:basedOn w:val="Normal"/>
    <w:uiPriority w:val="99"/>
    <w:semiHidden/>
    <w:unhideWhenUsed/>
    <w:rsid w:val="00E00A76"/>
    <w:pPr>
      <w:ind w:left="283" w:hanging="283"/>
      <w:contextualSpacing/>
    </w:pPr>
  </w:style>
  <w:style w:type="paragraph" w:styleId="List2">
    <w:name w:val="List 2"/>
    <w:basedOn w:val="Normal"/>
    <w:uiPriority w:val="99"/>
    <w:semiHidden/>
    <w:unhideWhenUsed/>
    <w:rsid w:val="00E00A76"/>
    <w:pPr>
      <w:ind w:left="566" w:hanging="283"/>
      <w:contextualSpacing/>
    </w:pPr>
  </w:style>
  <w:style w:type="paragraph" w:styleId="List3">
    <w:name w:val="List 3"/>
    <w:basedOn w:val="Normal"/>
    <w:uiPriority w:val="99"/>
    <w:semiHidden/>
    <w:unhideWhenUsed/>
    <w:rsid w:val="00E00A76"/>
    <w:pPr>
      <w:ind w:left="849" w:hanging="283"/>
      <w:contextualSpacing/>
    </w:pPr>
  </w:style>
  <w:style w:type="paragraph" w:styleId="List4">
    <w:name w:val="List 4"/>
    <w:basedOn w:val="Normal"/>
    <w:uiPriority w:val="99"/>
    <w:semiHidden/>
    <w:unhideWhenUsed/>
    <w:rsid w:val="00E00A76"/>
    <w:pPr>
      <w:ind w:left="1132" w:hanging="283"/>
      <w:contextualSpacing/>
    </w:pPr>
  </w:style>
  <w:style w:type="paragraph" w:styleId="List5">
    <w:name w:val="List 5"/>
    <w:basedOn w:val="Normal"/>
    <w:uiPriority w:val="99"/>
    <w:semiHidden/>
    <w:unhideWhenUsed/>
    <w:rsid w:val="00E00A76"/>
    <w:pPr>
      <w:ind w:left="1415" w:hanging="283"/>
      <w:contextualSpacing/>
    </w:pPr>
  </w:style>
  <w:style w:type="paragraph" w:styleId="ListContinue">
    <w:name w:val="List Continue"/>
    <w:basedOn w:val="Normal"/>
    <w:uiPriority w:val="99"/>
    <w:semiHidden/>
    <w:unhideWhenUsed/>
    <w:rsid w:val="00E00A76"/>
    <w:pPr>
      <w:spacing w:after="120"/>
      <w:ind w:left="283"/>
      <w:contextualSpacing/>
    </w:pPr>
  </w:style>
  <w:style w:type="paragraph" w:styleId="ListContinue2">
    <w:name w:val="List Continue 2"/>
    <w:basedOn w:val="Normal"/>
    <w:uiPriority w:val="99"/>
    <w:semiHidden/>
    <w:unhideWhenUsed/>
    <w:rsid w:val="00E00A76"/>
    <w:pPr>
      <w:spacing w:after="120"/>
      <w:ind w:left="566"/>
      <w:contextualSpacing/>
    </w:pPr>
  </w:style>
  <w:style w:type="paragraph" w:styleId="ListContinue3">
    <w:name w:val="List Continue 3"/>
    <w:basedOn w:val="Normal"/>
    <w:uiPriority w:val="99"/>
    <w:semiHidden/>
    <w:unhideWhenUsed/>
    <w:rsid w:val="00E00A76"/>
    <w:pPr>
      <w:spacing w:after="120"/>
      <w:ind w:left="849"/>
      <w:contextualSpacing/>
    </w:pPr>
  </w:style>
  <w:style w:type="paragraph" w:styleId="ListContinue4">
    <w:name w:val="List Continue 4"/>
    <w:basedOn w:val="Normal"/>
    <w:uiPriority w:val="99"/>
    <w:semiHidden/>
    <w:unhideWhenUsed/>
    <w:rsid w:val="00E00A76"/>
    <w:pPr>
      <w:spacing w:after="120"/>
      <w:ind w:left="1132"/>
      <w:contextualSpacing/>
    </w:pPr>
  </w:style>
  <w:style w:type="paragraph" w:styleId="ListContinue5">
    <w:name w:val="List Continue 5"/>
    <w:basedOn w:val="Normal"/>
    <w:uiPriority w:val="99"/>
    <w:semiHidden/>
    <w:unhideWhenUsed/>
    <w:rsid w:val="00E00A76"/>
    <w:pPr>
      <w:spacing w:after="120"/>
      <w:ind w:left="1415"/>
      <w:contextualSpacing/>
    </w:pPr>
  </w:style>
  <w:style w:type="paragraph" w:styleId="ListNumber">
    <w:name w:val="List Number"/>
    <w:basedOn w:val="Normal"/>
    <w:uiPriority w:val="99"/>
    <w:semiHidden/>
    <w:unhideWhenUsed/>
    <w:rsid w:val="00E00A76"/>
    <w:pPr>
      <w:numPr>
        <w:numId w:val="21"/>
      </w:numPr>
      <w:contextualSpacing/>
    </w:pPr>
  </w:style>
  <w:style w:type="paragraph" w:styleId="ListNumber2">
    <w:name w:val="List Number 2"/>
    <w:basedOn w:val="Normal"/>
    <w:uiPriority w:val="99"/>
    <w:semiHidden/>
    <w:unhideWhenUsed/>
    <w:rsid w:val="00E00A76"/>
    <w:pPr>
      <w:numPr>
        <w:numId w:val="22"/>
      </w:numPr>
      <w:contextualSpacing/>
    </w:pPr>
  </w:style>
  <w:style w:type="paragraph" w:styleId="ListNumber3">
    <w:name w:val="List Number 3"/>
    <w:basedOn w:val="Normal"/>
    <w:uiPriority w:val="99"/>
    <w:semiHidden/>
    <w:unhideWhenUsed/>
    <w:rsid w:val="00E00A76"/>
    <w:pPr>
      <w:numPr>
        <w:numId w:val="23"/>
      </w:numPr>
      <w:contextualSpacing/>
    </w:pPr>
  </w:style>
  <w:style w:type="paragraph" w:styleId="ListNumber4">
    <w:name w:val="List Number 4"/>
    <w:basedOn w:val="Normal"/>
    <w:uiPriority w:val="99"/>
    <w:semiHidden/>
    <w:unhideWhenUsed/>
    <w:rsid w:val="00E00A76"/>
    <w:pPr>
      <w:numPr>
        <w:numId w:val="24"/>
      </w:numPr>
      <w:contextualSpacing/>
    </w:pPr>
  </w:style>
  <w:style w:type="paragraph" w:styleId="ListNumber5">
    <w:name w:val="List Number 5"/>
    <w:basedOn w:val="Normal"/>
    <w:uiPriority w:val="99"/>
    <w:semiHidden/>
    <w:unhideWhenUsed/>
    <w:rsid w:val="00E00A76"/>
    <w:pPr>
      <w:numPr>
        <w:numId w:val="25"/>
      </w:numPr>
      <w:contextualSpacing/>
    </w:pPr>
  </w:style>
  <w:style w:type="table" w:styleId="ListTable1Light">
    <w:name w:val="List Table 1 Light"/>
    <w:basedOn w:val="TableNormal"/>
    <w:uiPriority w:val="46"/>
    <w:rsid w:val="00E00A76"/>
    <w:pPr>
      <w:spacing w:after="0" w:line="240" w:lineRule="auto"/>
      <w:jc w:val="both"/>
    </w:pPr>
    <w:rPr>
      <w:rFonts w:ascii="Arial" w:hAnsi="Arial"/>
      <w:kern w:val="0"/>
      <w:sz w:val="21"/>
      <w:szCs w:val="21"/>
      <w14:ligatures w14:val="none"/>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E00A76"/>
    <w:pPr>
      <w:spacing w:after="0" w:line="240" w:lineRule="auto"/>
      <w:jc w:val="both"/>
    </w:pPr>
    <w:rPr>
      <w:rFonts w:ascii="Arial" w:hAnsi="Arial"/>
      <w:kern w:val="0"/>
      <w:sz w:val="21"/>
      <w:szCs w:val="21"/>
      <w14:ligatures w14:val="none"/>
    </w:r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E00A76"/>
    <w:pPr>
      <w:spacing w:after="0" w:line="240" w:lineRule="auto"/>
      <w:jc w:val="both"/>
    </w:pPr>
    <w:rPr>
      <w:rFonts w:ascii="Arial" w:hAnsi="Arial"/>
      <w:kern w:val="0"/>
      <w:sz w:val="21"/>
      <w:szCs w:val="21"/>
      <w14:ligatures w14:val="none"/>
    </w:r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E00A76"/>
    <w:pPr>
      <w:spacing w:after="0" w:line="240" w:lineRule="auto"/>
      <w:jc w:val="both"/>
    </w:pPr>
    <w:rPr>
      <w:rFonts w:ascii="Arial" w:hAnsi="Arial"/>
      <w:kern w:val="0"/>
      <w:sz w:val="21"/>
      <w:szCs w:val="21"/>
      <w14:ligatures w14:val="none"/>
    </w:r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E00A76"/>
    <w:pPr>
      <w:spacing w:after="0" w:line="240" w:lineRule="auto"/>
      <w:jc w:val="both"/>
    </w:pPr>
    <w:rPr>
      <w:rFonts w:ascii="Arial" w:hAnsi="Arial"/>
      <w:kern w:val="0"/>
      <w:sz w:val="21"/>
      <w:szCs w:val="21"/>
      <w14:ligatures w14:val="none"/>
    </w:r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E00A76"/>
    <w:pPr>
      <w:spacing w:after="0" w:line="240" w:lineRule="auto"/>
      <w:jc w:val="both"/>
    </w:pPr>
    <w:rPr>
      <w:rFonts w:ascii="Arial" w:hAnsi="Arial"/>
      <w:kern w:val="0"/>
      <w:sz w:val="21"/>
      <w:szCs w:val="21"/>
      <w14:ligatures w14:val="none"/>
    </w:r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E00A76"/>
    <w:pPr>
      <w:spacing w:after="0" w:line="240" w:lineRule="auto"/>
      <w:jc w:val="both"/>
    </w:pPr>
    <w:rPr>
      <w:rFonts w:ascii="Arial" w:hAnsi="Arial"/>
      <w:kern w:val="0"/>
      <w:sz w:val="21"/>
      <w:szCs w:val="21"/>
      <w14:ligatures w14:val="none"/>
    </w:r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E00A76"/>
    <w:pPr>
      <w:spacing w:after="0" w:line="240" w:lineRule="auto"/>
      <w:jc w:val="both"/>
    </w:pPr>
    <w:rPr>
      <w:rFonts w:ascii="Arial" w:hAnsi="Arial"/>
      <w:kern w:val="0"/>
      <w:sz w:val="21"/>
      <w:szCs w:val="21"/>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E00A76"/>
    <w:pPr>
      <w:spacing w:after="0" w:line="240" w:lineRule="auto"/>
      <w:jc w:val="both"/>
    </w:pPr>
    <w:rPr>
      <w:rFonts w:ascii="Arial" w:hAnsi="Arial"/>
      <w:color w:val="FFFFFF" w:themeColor="background1"/>
      <w:kern w:val="0"/>
      <w:sz w:val="21"/>
      <w:szCs w:val="21"/>
      <w14:ligatures w14:val="none"/>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E00A76"/>
    <w:pPr>
      <w:spacing w:after="0" w:line="240" w:lineRule="auto"/>
      <w:jc w:val="both"/>
    </w:pPr>
    <w:rPr>
      <w:rFonts w:ascii="Arial" w:hAnsi="Arial"/>
      <w:color w:val="FFFFFF" w:themeColor="background1"/>
      <w:kern w:val="0"/>
      <w:sz w:val="21"/>
      <w:szCs w:val="21"/>
      <w14:ligatures w14:val="none"/>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E00A76"/>
    <w:pPr>
      <w:spacing w:after="0" w:line="240" w:lineRule="auto"/>
      <w:jc w:val="both"/>
    </w:pPr>
    <w:rPr>
      <w:rFonts w:ascii="Arial" w:hAnsi="Arial"/>
      <w:color w:val="FFFFFF" w:themeColor="background1"/>
      <w:kern w:val="0"/>
      <w:sz w:val="21"/>
      <w:szCs w:val="21"/>
      <w14:ligatures w14:val="none"/>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E00A76"/>
    <w:pPr>
      <w:spacing w:after="0" w:line="240" w:lineRule="auto"/>
      <w:jc w:val="both"/>
    </w:pPr>
    <w:rPr>
      <w:rFonts w:ascii="Arial" w:hAnsi="Arial"/>
      <w:color w:val="FFFFFF" w:themeColor="background1"/>
      <w:kern w:val="0"/>
      <w:sz w:val="21"/>
      <w:szCs w:val="21"/>
      <w14:ligatures w14:val="none"/>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E00A76"/>
    <w:pPr>
      <w:spacing w:after="0" w:line="240" w:lineRule="auto"/>
      <w:jc w:val="both"/>
    </w:pPr>
    <w:rPr>
      <w:rFonts w:ascii="Arial" w:hAnsi="Arial"/>
      <w:color w:val="FFFFFF" w:themeColor="background1"/>
      <w:kern w:val="0"/>
      <w:sz w:val="21"/>
      <w:szCs w:val="21"/>
      <w14:ligatures w14:val="none"/>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E00A76"/>
    <w:pPr>
      <w:spacing w:after="0" w:line="240" w:lineRule="auto"/>
      <w:jc w:val="both"/>
    </w:pPr>
    <w:rPr>
      <w:rFonts w:ascii="Arial" w:hAnsi="Arial"/>
      <w:color w:val="FFFFFF" w:themeColor="background1"/>
      <w:kern w:val="0"/>
      <w:sz w:val="21"/>
      <w:szCs w:val="21"/>
      <w14:ligatures w14:val="none"/>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E00A76"/>
    <w:pPr>
      <w:spacing w:after="0" w:line="240" w:lineRule="auto"/>
      <w:jc w:val="both"/>
    </w:pPr>
    <w:rPr>
      <w:rFonts w:ascii="Arial" w:hAnsi="Arial"/>
      <w:color w:val="FFFFFF" w:themeColor="background1"/>
      <w:kern w:val="0"/>
      <w:sz w:val="21"/>
      <w:szCs w:val="21"/>
      <w14:ligatures w14:val="none"/>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E00A76"/>
    <w:pPr>
      <w:spacing w:after="0" w:line="240" w:lineRule="auto"/>
      <w:jc w:val="both"/>
    </w:pPr>
    <w:rPr>
      <w:rFonts w:ascii="Arial" w:hAnsi="Arial"/>
      <w:color w:val="0F4761" w:themeColor="accent1" w:themeShade="BF"/>
      <w:kern w:val="0"/>
      <w:sz w:val="21"/>
      <w:szCs w:val="21"/>
      <w14:ligatures w14:val="none"/>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E00A76"/>
    <w:pPr>
      <w:spacing w:after="0" w:line="240" w:lineRule="auto"/>
      <w:jc w:val="both"/>
    </w:pPr>
    <w:rPr>
      <w:rFonts w:ascii="Arial" w:hAnsi="Arial"/>
      <w:color w:val="BF4E14" w:themeColor="accent2" w:themeShade="BF"/>
      <w:kern w:val="0"/>
      <w:sz w:val="21"/>
      <w:szCs w:val="21"/>
      <w14:ligatures w14:val="none"/>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E00A76"/>
    <w:pPr>
      <w:spacing w:after="0" w:line="240" w:lineRule="auto"/>
      <w:jc w:val="both"/>
    </w:pPr>
    <w:rPr>
      <w:rFonts w:ascii="Arial" w:hAnsi="Arial"/>
      <w:color w:val="124F1A" w:themeColor="accent3" w:themeShade="BF"/>
      <w:kern w:val="0"/>
      <w:sz w:val="21"/>
      <w:szCs w:val="21"/>
      <w14:ligatures w14:val="none"/>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E00A76"/>
    <w:pPr>
      <w:spacing w:after="0" w:line="240" w:lineRule="auto"/>
      <w:jc w:val="both"/>
    </w:pPr>
    <w:rPr>
      <w:rFonts w:ascii="Arial" w:hAnsi="Arial"/>
      <w:color w:val="0B769F" w:themeColor="accent4" w:themeShade="BF"/>
      <w:kern w:val="0"/>
      <w:sz w:val="21"/>
      <w:szCs w:val="21"/>
      <w14:ligatures w14:val="none"/>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E00A76"/>
    <w:pPr>
      <w:spacing w:after="0" w:line="240" w:lineRule="auto"/>
      <w:jc w:val="both"/>
    </w:pPr>
    <w:rPr>
      <w:rFonts w:ascii="Arial" w:hAnsi="Arial"/>
      <w:color w:val="77206D" w:themeColor="accent5" w:themeShade="BF"/>
      <w:kern w:val="0"/>
      <w:sz w:val="21"/>
      <w:szCs w:val="21"/>
      <w14:ligatures w14:val="none"/>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E00A76"/>
    <w:pPr>
      <w:spacing w:after="0" w:line="240" w:lineRule="auto"/>
      <w:jc w:val="both"/>
    </w:pPr>
    <w:rPr>
      <w:rFonts w:ascii="Arial" w:hAnsi="Arial"/>
      <w:color w:val="3A7C22" w:themeColor="accent6" w:themeShade="BF"/>
      <w:kern w:val="0"/>
      <w:sz w:val="21"/>
      <w:szCs w:val="21"/>
      <w14:ligatures w14:val="none"/>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E00A76"/>
    <w:pPr>
      <w:spacing w:after="0" w:line="240" w:lineRule="auto"/>
      <w:jc w:val="both"/>
    </w:pPr>
    <w:rPr>
      <w:rFonts w:ascii="Arial" w:hAnsi="Arial"/>
      <w:color w:val="0F4761" w:themeColor="accent1" w:themeShade="BF"/>
      <w:kern w:val="0"/>
      <w:sz w:val="21"/>
      <w:szCs w:val="21"/>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E00A76"/>
    <w:pPr>
      <w:spacing w:after="0" w:line="240" w:lineRule="auto"/>
      <w:jc w:val="both"/>
    </w:pPr>
    <w:rPr>
      <w:rFonts w:ascii="Arial" w:hAnsi="Arial"/>
      <w:color w:val="BF4E14" w:themeColor="accent2" w:themeShade="BF"/>
      <w:kern w:val="0"/>
      <w:sz w:val="21"/>
      <w:szCs w:val="21"/>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E00A76"/>
    <w:pPr>
      <w:spacing w:after="0" w:line="240" w:lineRule="auto"/>
      <w:jc w:val="both"/>
    </w:pPr>
    <w:rPr>
      <w:rFonts w:ascii="Arial" w:hAnsi="Arial"/>
      <w:color w:val="124F1A" w:themeColor="accent3" w:themeShade="BF"/>
      <w:kern w:val="0"/>
      <w:sz w:val="21"/>
      <w:szCs w:val="21"/>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E00A76"/>
    <w:pPr>
      <w:spacing w:after="0" w:line="240" w:lineRule="auto"/>
      <w:jc w:val="both"/>
    </w:pPr>
    <w:rPr>
      <w:rFonts w:ascii="Arial" w:hAnsi="Arial"/>
      <w:color w:val="0B769F" w:themeColor="accent4" w:themeShade="BF"/>
      <w:kern w:val="0"/>
      <w:sz w:val="21"/>
      <w:szCs w:val="21"/>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E00A76"/>
    <w:pPr>
      <w:spacing w:after="0" w:line="240" w:lineRule="auto"/>
      <w:jc w:val="both"/>
    </w:pPr>
    <w:rPr>
      <w:rFonts w:ascii="Arial" w:hAnsi="Arial"/>
      <w:color w:val="77206D" w:themeColor="accent5" w:themeShade="BF"/>
      <w:kern w:val="0"/>
      <w:sz w:val="21"/>
      <w:szCs w:val="21"/>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E00A76"/>
    <w:pPr>
      <w:spacing w:after="0" w:line="240" w:lineRule="auto"/>
      <w:jc w:val="both"/>
    </w:pPr>
    <w:rPr>
      <w:rFonts w:ascii="Arial" w:hAnsi="Arial"/>
      <w:color w:val="3A7C22" w:themeColor="accent6" w:themeShade="BF"/>
      <w:kern w:val="0"/>
      <w:sz w:val="21"/>
      <w:szCs w:val="21"/>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ibliography">
    <w:name w:val="Bibliography"/>
    <w:basedOn w:val="Normal"/>
    <w:next w:val="Normal"/>
    <w:uiPriority w:val="37"/>
    <w:semiHidden/>
    <w:unhideWhenUsed/>
    <w:rsid w:val="00E00A76"/>
  </w:style>
  <w:style w:type="paragraph" w:styleId="MacroText">
    <w:name w:val="macro"/>
    <w:link w:val="MacroTextChar"/>
    <w:uiPriority w:val="99"/>
    <w:semiHidden/>
    <w:unhideWhenUsed/>
    <w:rsid w:val="00E00A76"/>
    <w:pPr>
      <w:tabs>
        <w:tab w:val="left" w:pos="480"/>
        <w:tab w:val="left" w:pos="960"/>
        <w:tab w:val="left" w:pos="1440"/>
        <w:tab w:val="left" w:pos="1920"/>
        <w:tab w:val="left" w:pos="2400"/>
        <w:tab w:val="left" w:pos="2880"/>
        <w:tab w:val="left" w:pos="3360"/>
        <w:tab w:val="left" w:pos="3840"/>
        <w:tab w:val="left" w:pos="4320"/>
      </w:tabs>
      <w:spacing w:after="0" w:line="360" w:lineRule="auto"/>
      <w:jc w:val="both"/>
    </w:pPr>
    <w:rPr>
      <w:rFonts w:ascii="Consolas" w:hAnsi="Consolas"/>
      <w:kern w:val="0"/>
      <w:sz w:val="20"/>
      <w:szCs w:val="20"/>
      <w14:ligatures w14:val="none"/>
    </w:rPr>
  </w:style>
  <w:style w:type="character" w:customStyle="1" w:styleId="MacroTextChar">
    <w:name w:val="Macro Text Char"/>
    <w:basedOn w:val="DefaultParagraphFont"/>
    <w:link w:val="MacroText"/>
    <w:uiPriority w:val="99"/>
    <w:semiHidden/>
    <w:rsid w:val="00E00A76"/>
    <w:rPr>
      <w:rFonts w:ascii="Consolas" w:hAnsi="Consolas"/>
      <w:kern w:val="0"/>
      <w:sz w:val="20"/>
      <w:szCs w:val="20"/>
      <w14:ligatures w14:val="none"/>
    </w:rPr>
  </w:style>
  <w:style w:type="table" w:styleId="MediumList1">
    <w:name w:val="Medium List 1"/>
    <w:basedOn w:val="TableNormal"/>
    <w:uiPriority w:val="65"/>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semiHidden/>
    <w:unhideWhenUsed/>
    <w:rsid w:val="00E00A76"/>
    <w:pPr>
      <w:spacing w:after="0" w:line="240" w:lineRule="auto"/>
      <w:jc w:val="both"/>
    </w:pPr>
    <w:rPr>
      <w:rFonts w:ascii="Arial" w:hAnsi="Arial"/>
      <w:color w:val="000000" w:themeColor="text1"/>
      <w:kern w:val="0"/>
      <w:sz w:val="21"/>
      <w:szCs w:val="21"/>
      <w14:ligatures w14:val="none"/>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semiHidden/>
    <w:unhideWhenUsed/>
    <w:rsid w:val="00E00A76"/>
    <w:pPr>
      <w:spacing w:after="0" w:line="240" w:lineRule="auto"/>
      <w:jc w:val="both"/>
    </w:pPr>
    <w:rPr>
      <w:rFonts w:asciiTheme="majorHAnsi" w:eastAsiaTheme="majorEastAsia" w:hAnsiTheme="majorHAnsi" w:cstheme="majorBidi"/>
      <w:color w:val="000000" w:themeColor="text1"/>
      <w:kern w:val="0"/>
      <w:sz w:val="21"/>
      <w:szCs w:val="21"/>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E00A76"/>
    <w:pPr>
      <w:spacing w:after="0" w:line="240" w:lineRule="auto"/>
      <w:jc w:val="both"/>
    </w:pPr>
    <w:rPr>
      <w:rFonts w:asciiTheme="majorHAnsi" w:eastAsiaTheme="majorEastAsia" w:hAnsiTheme="majorHAnsi" w:cstheme="majorBidi"/>
      <w:color w:val="000000" w:themeColor="text1"/>
      <w:kern w:val="0"/>
      <w:sz w:val="21"/>
      <w:szCs w:val="21"/>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E00A76"/>
    <w:pPr>
      <w:spacing w:after="0" w:line="240" w:lineRule="auto"/>
      <w:jc w:val="both"/>
    </w:pPr>
    <w:rPr>
      <w:rFonts w:asciiTheme="majorHAnsi" w:eastAsiaTheme="majorEastAsia" w:hAnsiTheme="majorHAnsi" w:cstheme="majorBidi"/>
      <w:color w:val="000000" w:themeColor="text1"/>
      <w:kern w:val="0"/>
      <w:sz w:val="21"/>
      <w:szCs w:val="21"/>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E00A76"/>
    <w:pPr>
      <w:spacing w:after="0" w:line="240" w:lineRule="auto"/>
      <w:jc w:val="both"/>
    </w:pPr>
    <w:rPr>
      <w:rFonts w:asciiTheme="majorHAnsi" w:eastAsiaTheme="majorEastAsia" w:hAnsiTheme="majorHAnsi" w:cstheme="majorBidi"/>
      <w:color w:val="000000" w:themeColor="text1"/>
      <w:kern w:val="0"/>
      <w:sz w:val="21"/>
      <w:szCs w:val="21"/>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E00A76"/>
    <w:pPr>
      <w:spacing w:after="0" w:line="240" w:lineRule="auto"/>
      <w:jc w:val="both"/>
    </w:pPr>
    <w:rPr>
      <w:rFonts w:asciiTheme="majorHAnsi" w:eastAsiaTheme="majorEastAsia" w:hAnsiTheme="majorHAnsi" w:cstheme="majorBidi"/>
      <w:color w:val="000000" w:themeColor="text1"/>
      <w:kern w:val="0"/>
      <w:sz w:val="21"/>
      <w:szCs w:val="21"/>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E00A76"/>
    <w:pPr>
      <w:spacing w:after="0" w:line="240" w:lineRule="auto"/>
      <w:jc w:val="both"/>
    </w:pPr>
    <w:rPr>
      <w:rFonts w:asciiTheme="majorHAnsi" w:eastAsiaTheme="majorEastAsia" w:hAnsiTheme="majorHAnsi" w:cstheme="majorBidi"/>
      <w:color w:val="000000" w:themeColor="text1"/>
      <w:kern w:val="0"/>
      <w:sz w:val="21"/>
      <w:szCs w:val="21"/>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E00A76"/>
    <w:pPr>
      <w:spacing w:after="0" w:line="240" w:lineRule="auto"/>
      <w:jc w:val="both"/>
    </w:pPr>
    <w:rPr>
      <w:rFonts w:asciiTheme="majorHAnsi" w:eastAsiaTheme="majorEastAsia" w:hAnsiTheme="majorHAnsi" w:cstheme="majorBidi"/>
      <w:color w:val="000000" w:themeColor="text1"/>
      <w:kern w:val="0"/>
      <w:sz w:val="21"/>
      <w:szCs w:val="21"/>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
    <w:name w:val="Medium Grid 1"/>
    <w:basedOn w:val="TableNormal"/>
    <w:uiPriority w:val="67"/>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semiHidden/>
    <w:unhideWhenUsed/>
    <w:rsid w:val="00E00A76"/>
    <w:pPr>
      <w:spacing w:after="0" w:line="240" w:lineRule="auto"/>
      <w:jc w:val="both"/>
    </w:pPr>
    <w:rPr>
      <w:rFonts w:asciiTheme="majorHAnsi" w:eastAsiaTheme="majorEastAsia" w:hAnsiTheme="majorHAnsi" w:cstheme="majorBidi"/>
      <w:color w:val="000000" w:themeColor="text1"/>
      <w:kern w:val="0"/>
      <w:sz w:val="21"/>
      <w:szCs w:val="21"/>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E00A76"/>
    <w:pPr>
      <w:spacing w:after="0" w:line="240" w:lineRule="auto"/>
      <w:jc w:val="both"/>
    </w:pPr>
    <w:rPr>
      <w:rFonts w:asciiTheme="majorHAnsi" w:eastAsiaTheme="majorEastAsia" w:hAnsiTheme="majorHAnsi" w:cstheme="majorBidi"/>
      <w:color w:val="000000" w:themeColor="text1"/>
      <w:kern w:val="0"/>
      <w:sz w:val="21"/>
      <w:szCs w:val="21"/>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E00A76"/>
    <w:pPr>
      <w:spacing w:after="0" w:line="240" w:lineRule="auto"/>
      <w:jc w:val="both"/>
    </w:pPr>
    <w:rPr>
      <w:rFonts w:asciiTheme="majorHAnsi" w:eastAsiaTheme="majorEastAsia" w:hAnsiTheme="majorHAnsi" w:cstheme="majorBidi"/>
      <w:color w:val="000000" w:themeColor="text1"/>
      <w:kern w:val="0"/>
      <w:sz w:val="21"/>
      <w:szCs w:val="21"/>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E00A76"/>
    <w:pPr>
      <w:spacing w:after="0" w:line="240" w:lineRule="auto"/>
      <w:jc w:val="both"/>
    </w:pPr>
    <w:rPr>
      <w:rFonts w:asciiTheme="majorHAnsi" w:eastAsiaTheme="majorEastAsia" w:hAnsiTheme="majorHAnsi" w:cstheme="majorBidi"/>
      <w:color w:val="000000" w:themeColor="text1"/>
      <w:kern w:val="0"/>
      <w:sz w:val="21"/>
      <w:szCs w:val="21"/>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E00A76"/>
    <w:pPr>
      <w:spacing w:after="0" w:line="240" w:lineRule="auto"/>
      <w:jc w:val="both"/>
    </w:pPr>
    <w:rPr>
      <w:rFonts w:asciiTheme="majorHAnsi" w:eastAsiaTheme="majorEastAsia" w:hAnsiTheme="majorHAnsi" w:cstheme="majorBidi"/>
      <w:color w:val="000000" w:themeColor="text1"/>
      <w:kern w:val="0"/>
      <w:sz w:val="21"/>
      <w:szCs w:val="21"/>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E00A76"/>
    <w:pPr>
      <w:spacing w:after="0" w:line="240" w:lineRule="auto"/>
      <w:jc w:val="both"/>
    </w:pPr>
    <w:rPr>
      <w:rFonts w:asciiTheme="majorHAnsi" w:eastAsiaTheme="majorEastAsia" w:hAnsiTheme="majorHAnsi" w:cstheme="majorBidi"/>
      <w:color w:val="000000" w:themeColor="text1"/>
      <w:kern w:val="0"/>
      <w:sz w:val="21"/>
      <w:szCs w:val="21"/>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E00A76"/>
    <w:pPr>
      <w:spacing w:after="0" w:line="240" w:lineRule="auto"/>
      <w:jc w:val="both"/>
    </w:pPr>
    <w:rPr>
      <w:rFonts w:asciiTheme="majorHAnsi" w:eastAsiaTheme="majorEastAsia" w:hAnsiTheme="majorHAnsi" w:cstheme="majorBidi"/>
      <w:color w:val="000000" w:themeColor="text1"/>
      <w:kern w:val="0"/>
      <w:sz w:val="21"/>
      <w:szCs w:val="21"/>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semiHidden/>
    <w:unhideWhenUsed/>
    <w:rsid w:val="00E00A76"/>
    <w:pPr>
      <w:spacing w:after="0" w:line="240" w:lineRule="auto"/>
      <w:jc w:val="both"/>
    </w:pPr>
    <w:rPr>
      <w:rFonts w:ascii="Arial" w:hAnsi="Arial"/>
      <w:kern w:val="0"/>
      <w:sz w:val="21"/>
      <w:szCs w:val="21"/>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paragraph" w:styleId="MessageHeader">
    <w:name w:val="Message Header"/>
    <w:basedOn w:val="Normal"/>
    <w:link w:val="MessageHeaderChar"/>
    <w:uiPriority w:val="99"/>
    <w:semiHidden/>
    <w:unhideWhenUsed/>
    <w:rsid w:val="00E00A7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E00A76"/>
    <w:rPr>
      <w:rFonts w:asciiTheme="majorHAnsi" w:eastAsiaTheme="majorEastAsia" w:hAnsiTheme="majorHAnsi" w:cstheme="majorBidi"/>
      <w:kern w:val="0"/>
      <w:sz w:val="24"/>
      <w:szCs w:val="24"/>
      <w:shd w:val="pct20" w:color="auto" w:fill="auto"/>
      <w14:ligatures w14:val="none"/>
    </w:rPr>
  </w:style>
  <w:style w:type="character" w:styleId="UnresolvedMention">
    <w:name w:val="Unresolved Mention"/>
    <w:basedOn w:val="DefaultParagraphFont"/>
    <w:uiPriority w:val="99"/>
    <w:semiHidden/>
    <w:unhideWhenUsed/>
    <w:rsid w:val="00E00A76"/>
    <w:rPr>
      <w:color w:val="605E5C"/>
      <w:shd w:val="clear" w:color="auto" w:fill="E1DFDD"/>
    </w:rPr>
  </w:style>
  <w:style w:type="paragraph" w:styleId="PlainText">
    <w:name w:val="Plain Text"/>
    <w:basedOn w:val="Normal"/>
    <w:link w:val="PlainTextChar"/>
    <w:uiPriority w:val="99"/>
    <w:semiHidden/>
    <w:unhideWhenUsed/>
    <w:rsid w:val="00E00A76"/>
    <w:rPr>
      <w:rFonts w:ascii="Consolas" w:hAnsi="Consolas"/>
    </w:rPr>
  </w:style>
  <w:style w:type="character" w:customStyle="1" w:styleId="PlainTextChar">
    <w:name w:val="Plain Text Char"/>
    <w:basedOn w:val="DefaultParagraphFont"/>
    <w:link w:val="PlainText"/>
    <w:uiPriority w:val="99"/>
    <w:semiHidden/>
    <w:rsid w:val="00E00A76"/>
    <w:rPr>
      <w:rFonts w:ascii="Consolas" w:hAnsi="Consolas"/>
      <w:kern w:val="0"/>
      <w:sz w:val="21"/>
      <w:szCs w:val="21"/>
      <w14:ligatures w14:val="none"/>
    </w:rPr>
  </w:style>
  <w:style w:type="character" w:styleId="PlaceholderText">
    <w:name w:val="Placeholder Text"/>
    <w:basedOn w:val="DefaultParagraphFont"/>
    <w:uiPriority w:val="99"/>
    <w:semiHidden/>
    <w:rsid w:val="00E00A76"/>
    <w:rPr>
      <w:color w:val="666666"/>
    </w:rPr>
  </w:style>
  <w:style w:type="paragraph" w:styleId="TableofAuthorities">
    <w:name w:val="table of authorities"/>
    <w:basedOn w:val="Normal"/>
    <w:next w:val="Normal"/>
    <w:uiPriority w:val="99"/>
    <w:semiHidden/>
    <w:unhideWhenUsed/>
    <w:rsid w:val="00E00A76"/>
    <w:pPr>
      <w:ind w:left="210" w:hanging="210"/>
    </w:pPr>
  </w:style>
  <w:style w:type="paragraph" w:styleId="TOAHeading">
    <w:name w:val="toa heading"/>
    <w:basedOn w:val="Normal"/>
    <w:next w:val="Normal"/>
    <w:uiPriority w:val="99"/>
    <w:semiHidden/>
    <w:unhideWhenUsed/>
    <w:rsid w:val="00E00A76"/>
    <w:pPr>
      <w:spacing w:before="120"/>
    </w:pPr>
    <w:rPr>
      <w:rFonts w:asciiTheme="majorHAnsi" w:eastAsiaTheme="majorEastAsia" w:hAnsiTheme="majorHAnsi" w:cstheme="majorBidi"/>
      <w:b/>
      <w:bCs/>
      <w:sz w:val="24"/>
      <w:szCs w:val="24"/>
    </w:rPr>
  </w:style>
  <w:style w:type="character" w:styleId="SubtleEmphasis">
    <w:name w:val="Subtle Emphasis"/>
    <w:basedOn w:val="DefaultParagraphFont"/>
    <w:uiPriority w:val="19"/>
    <w:qFormat/>
    <w:rsid w:val="00E00A76"/>
    <w:rPr>
      <w:i/>
      <w:iCs/>
      <w:color w:val="404040" w:themeColor="text1" w:themeTint="BF"/>
    </w:rPr>
  </w:style>
  <w:style w:type="character" w:styleId="SubtleReference">
    <w:name w:val="Subtle Reference"/>
    <w:basedOn w:val="DefaultParagraphFont"/>
    <w:uiPriority w:val="31"/>
    <w:qFormat/>
    <w:rsid w:val="00E00A76"/>
    <w:rPr>
      <w:smallCaps/>
      <w:color w:val="5A5A5A" w:themeColor="text1" w:themeTint="A5"/>
    </w:rPr>
  </w:style>
  <w:style w:type="character" w:styleId="PageNumber">
    <w:name w:val="page number"/>
    <w:basedOn w:val="DefaultParagraphFont"/>
    <w:uiPriority w:val="99"/>
    <w:semiHidden/>
    <w:unhideWhenUsed/>
    <w:rsid w:val="00E00A76"/>
  </w:style>
  <w:style w:type="character" w:styleId="SmartHyperlink">
    <w:name w:val="Smart Hyperlink"/>
    <w:basedOn w:val="DefaultParagraphFont"/>
    <w:uiPriority w:val="99"/>
    <w:semiHidden/>
    <w:unhideWhenUsed/>
    <w:rsid w:val="00E00A76"/>
    <w:rPr>
      <w:u w:val="dotted"/>
    </w:rPr>
  </w:style>
  <w:style w:type="character" w:customStyle="1" w:styleId="SmartLink1">
    <w:name w:val="SmartLink1"/>
    <w:basedOn w:val="DefaultParagraphFont"/>
    <w:uiPriority w:val="99"/>
    <w:semiHidden/>
    <w:unhideWhenUsed/>
    <w:rsid w:val="00E00A76"/>
    <w:rPr>
      <w:color w:val="0000FF"/>
      <w:u w:val="single"/>
      <w:shd w:val="clear" w:color="auto" w:fill="F3F2F1"/>
    </w:rPr>
  </w:style>
  <w:style w:type="paragraph" w:styleId="BalloonText">
    <w:name w:val="Balloon Text"/>
    <w:basedOn w:val="Normal"/>
    <w:link w:val="BalloonTextChar"/>
    <w:uiPriority w:val="99"/>
    <w:semiHidden/>
    <w:unhideWhenUsed/>
    <w:rsid w:val="00E00A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0A76"/>
    <w:rPr>
      <w:rFonts w:ascii="Segoe UI" w:hAnsi="Segoe UI" w:cs="Segoe UI"/>
      <w:kern w:val="0"/>
      <w:sz w:val="18"/>
      <w:szCs w:val="18"/>
      <w14:ligatures w14:val="none"/>
    </w:rPr>
  </w:style>
  <w:style w:type="paragraph" w:styleId="NormalWeb">
    <w:name w:val="Normal (Web)"/>
    <w:basedOn w:val="Normal"/>
    <w:uiPriority w:val="99"/>
    <w:semiHidden/>
    <w:unhideWhenUsed/>
    <w:rsid w:val="00E00A76"/>
    <w:rPr>
      <w:rFonts w:ascii="Times New Roman" w:hAnsi="Times New Roman" w:cs="Times New Roman"/>
      <w:sz w:val="24"/>
      <w:szCs w:val="24"/>
    </w:rPr>
  </w:style>
  <w:style w:type="paragraph" w:styleId="NormalIndent">
    <w:name w:val="Normal Indent"/>
    <w:basedOn w:val="Normal"/>
    <w:uiPriority w:val="99"/>
    <w:semiHidden/>
    <w:unhideWhenUsed/>
    <w:rsid w:val="00E00A76"/>
    <w:pPr>
      <w:ind w:left="708"/>
    </w:pPr>
  </w:style>
  <w:style w:type="table" w:styleId="Table3Deffects1">
    <w:name w:val="Table 3D effects 1"/>
    <w:basedOn w:val="TableNormal"/>
    <w:uiPriority w:val="99"/>
    <w:semiHidden/>
    <w:unhideWhenUsed/>
    <w:rsid w:val="00E00A76"/>
    <w:pPr>
      <w:spacing w:after="340" w:line="360" w:lineRule="auto"/>
      <w:jc w:val="both"/>
    </w:pPr>
    <w:rPr>
      <w:rFonts w:ascii="Arial" w:hAnsi="Arial"/>
      <w:kern w:val="0"/>
      <w:sz w:val="21"/>
      <w:szCs w:val="21"/>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00A76"/>
    <w:pPr>
      <w:spacing w:after="340" w:line="360" w:lineRule="auto"/>
      <w:jc w:val="both"/>
    </w:pPr>
    <w:rPr>
      <w:rFonts w:ascii="Arial" w:hAnsi="Arial"/>
      <w:kern w:val="0"/>
      <w:sz w:val="21"/>
      <w:szCs w:val="21"/>
      <w14:ligatures w14:val="non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00A76"/>
    <w:pPr>
      <w:spacing w:after="340" w:line="360" w:lineRule="auto"/>
      <w:jc w:val="both"/>
    </w:pPr>
    <w:rPr>
      <w:rFonts w:ascii="Arial" w:hAnsi="Arial"/>
      <w:kern w:val="0"/>
      <w:sz w:val="21"/>
      <w:szCs w:val="21"/>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iPriority w:val="99"/>
    <w:semiHidden/>
    <w:unhideWhenUsed/>
    <w:rsid w:val="00E00A76"/>
    <w:pPr>
      <w:spacing w:after="340" w:line="360" w:lineRule="auto"/>
      <w:jc w:val="both"/>
    </w:pPr>
    <w:rPr>
      <w:rFonts w:ascii="Arial" w:hAnsi="Arial"/>
      <w:kern w:val="0"/>
      <w:sz w:val="21"/>
      <w:szCs w:val="21"/>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00A76"/>
    <w:pPr>
      <w:spacing w:after="340" w:line="360" w:lineRule="auto"/>
      <w:jc w:val="both"/>
    </w:pPr>
    <w:rPr>
      <w:rFonts w:ascii="Arial" w:hAnsi="Arial"/>
      <w:kern w:val="0"/>
      <w:sz w:val="21"/>
      <w:szCs w:val="21"/>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00A76"/>
    <w:pPr>
      <w:spacing w:after="340" w:line="360" w:lineRule="auto"/>
      <w:jc w:val="both"/>
    </w:pPr>
    <w:rPr>
      <w:rFonts w:ascii="Arial" w:hAnsi="Arial"/>
      <w:color w:val="FFFFFF"/>
      <w:kern w:val="0"/>
      <w:sz w:val="21"/>
      <w:szCs w:val="21"/>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00A76"/>
    <w:pPr>
      <w:spacing w:after="340" w:line="360" w:lineRule="auto"/>
      <w:jc w:val="both"/>
    </w:pPr>
    <w:rPr>
      <w:rFonts w:ascii="Arial" w:hAnsi="Arial"/>
      <w:kern w:val="0"/>
      <w:sz w:val="21"/>
      <w:szCs w:val="21"/>
      <w14:ligatures w14:val="non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00A76"/>
    <w:pPr>
      <w:spacing w:after="340" w:line="360" w:lineRule="auto"/>
      <w:jc w:val="both"/>
    </w:pPr>
    <w:rPr>
      <w:rFonts w:ascii="Arial" w:hAnsi="Arial"/>
      <w:color w:val="000080"/>
      <w:kern w:val="0"/>
      <w:sz w:val="21"/>
      <w:szCs w:val="21"/>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00A76"/>
    <w:pPr>
      <w:spacing w:after="340" w:line="360" w:lineRule="auto"/>
      <w:jc w:val="both"/>
    </w:pPr>
    <w:rPr>
      <w:rFonts w:ascii="Arial" w:hAnsi="Arial"/>
      <w:kern w:val="0"/>
      <w:sz w:val="21"/>
      <w:szCs w:val="21"/>
      <w14:ligatures w14:val="non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00A76"/>
    <w:pPr>
      <w:spacing w:after="340" w:line="360" w:lineRule="auto"/>
      <w:jc w:val="both"/>
    </w:pPr>
    <w:rPr>
      <w:rFonts w:ascii="Arial" w:hAnsi="Arial"/>
      <w:kern w:val="0"/>
      <w:sz w:val="21"/>
      <w:szCs w:val="21"/>
      <w14:ligatures w14:val="non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00A76"/>
    <w:pPr>
      <w:spacing w:after="340" w:line="360" w:lineRule="auto"/>
      <w:jc w:val="both"/>
    </w:pPr>
    <w:rPr>
      <w:rFonts w:ascii="Arial" w:hAnsi="Arial"/>
      <w:kern w:val="0"/>
      <w:sz w:val="21"/>
      <w:szCs w:val="21"/>
      <w14:ligatures w14:val="non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00A76"/>
    <w:pPr>
      <w:spacing w:after="340" w:line="360" w:lineRule="auto"/>
      <w:jc w:val="both"/>
    </w:pPr>
    <w:rPr>
      <w:rFonts w:ascii="Arial" w:hAnsi="Arial"/>
      <w:kern w:val="0"/>
      <w:sz w:val="21"/>
      <w:szCs w:val="21"/>
      <w14:ligatures w14:val="non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00A76"/>
    <w:pPr>
      <w:spacing w:after="340" w:line="360" w:lineRule="auto"/>
      <w:jc w:val="both"/>
    </w:pPr>
    <w:rPr>
      <w:rFonts w:ascii="Arial" w:hAnsi="Arial"/>
      <w:kern w:val="0"/>
      <w:sz w:val="21"/>
      <w:szCs w:val="21"/>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GridLight">
    <w:name w:val="Grid Table Light"/>
    <w:basedOn w:val="TableNormal"/>
    <w:uiPriority w:val="40"/>
    <w:rsid w:val="00E00A76"/>
    <w:pPr>
      <w:spacing w:after="0" w:line="240" w:lineRule="auto"/>
      <w:jc w:val="both"/>
    </w:pPr>
    <w:rPr>
      <w:rFonts w:ascii="Arial" w:hAnsi="Arial"/>
      <w:kern w:val="0"/>
      <w:sz w:val="21"/>
      <w:szCs w:val="21"/>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Professional">
    <w:name w:val="Table Professional"/>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00A76"/>
    <w:pPr>
      <w:spacing w:after="340" w:line="360" w:lineRule="auto"/>
      <w:jc w:val="both"/>
    </w:pPr>
    <w:rPr>
      <w:rFonts w:ascii="Arial" w:hAnsi="Arial"/>
      <w:kern w:val="0"/>
      <w:sz w:val="21"/>
      <w:szCs w:val="21"/>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00A76"/>
    <w:pPr>
      <w:spacing w:after="340" w:line="360" w:lineRule="auto"/>
      <w:jc w:val="both"/>
    </w:pPr>
    <w:rPr>
      <w:rFonts w:ascii="Arial" w:hAnsi="Arial"/>
      <w:kern w:val="0"/>
      <w:sz w:val="21"/>
      <w:szCs w:val="21"/>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00A76"/>
    <w:pPr>
      <w:spacing w:after="340" w:line="360" w:lineRule="auto"/>
      <w:jc w:val="both"/>
    </w:pPr>
    <w:rPr>
      <w:rFonts w:ascii="Arial" w:hAnsi="Arial"/>
      <w:b/>
      <w:bCs/>
      <w:kern w:val="0"/>
      <w:sz w:val="21"/>
      <w:szCs w:val="21"/>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uiPriority w:val="99"/>
    <w:semiHidden/>
    <w:unhideWhenUsed/>
    <w:rsid w:val="00E00A76"/>
    <w:pPr>
      <w:spacing w:after="340" w:line="360" w:lineRule="auto"/>
      <w:jc w:val="both"/>
    </w:pPr>
    <w:rPr>
      <w:rFonts w:ascii="Arial" w:hAnsi="Arial"/>
      <w:b/>
      <w:bCs/>
      <w:kern w:val="0"/>
      <w:sz w:val="21"/>
      <w:szCs w:val="21"/>
      <w14:ligatures w14:val="non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00A76"/>
    <w:pPr>
      <w:spacing w:after="340" w:line="360" w:lineRule="auto"/>
      <w:jc w:val="both"/>
    </w:pPr>
    <w:rPr>
      <w:rFonts w:ascii="Arial" w:hAnsi="Arial"/>
      <w:b/>
      <w:bCs/>
      <w:kern w:val="0"/>
      <w:sz w:val="21"/>
      <w:szCs w:val="21"/>
      <w14:ligatures w14:val="non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00A76"/>
    <w:pPr>
      <w:spacing w:after="340" w:line="360" w:lineRule="auto"/>
      <w:jc w:val="both"/>
    </w:pPr>
    <w:rPr>
      <w:rFonts w:ascii="Arial" w:hAnsi="Arial"/>
      <w:b/>
      <w:bCs/>
      <w:kern w:val="0"/>
      <w:sz w:val="21"/>
      <w:szCs w:val="21"/>
      <w14:ligatures w14:val="non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00A76"/>
    <w:pPr>
      <w:spacing w:after="340" w:line="360" w:lineRule="auto"/>
      <w:jc w:val="both"/>
    </w:pPr>
    <w:rPr>
      <w:rFonts w:ascii="Arial" w:hAnsi="Arial"/>
      <w:kern w:val="0"/>
      <w:sz w:val="21"/>
      <w:szCs w:val="21"/>
      <w14:ligatures w14:val="non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00A76"/>
    <w:pPr>
      <w:spacing w:after="340" w:line="360" w:lineRule="auto"/>
      <w:jc w:val="both"/>
    </w:pPr>
    <w:rPr>
      <w:rFonts w:ascii="Arial" w:hAnsi="Arial"/>
      <w:kern w:val="0"/>
      <w:sz w:val="21"/>
      <w:szCs w:val="21"/>
      <w14:ligatures w14:val="non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uiPriority w:val="99"/>
    <w:semiHidden/>
    <w:unhideWhenUsed/>
    <w:rsid w:val="00E00A76"/>
    <w:pPr>
      <w:spacing w:after="340" w:line="360" w:lineRule="auto"/>
      <w:jc w:val="both"/>
    </w:pPr>
    <w:rPr>
      <w:rFonts w:ascii="Arial" w:hAnsi="Arial"/>
      <w:kern w:val="0"/>
      <w:sz w:val="21"/>
      <w:szCs w:val="21"/>
      <w14:ligatures w14:val="non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00A76"/>
    <w:pPr>
      <w:spacing w:after="340" w:line="360" w:lineRule="auto"/>
      <w:jc w:val="both"/>
    </w:pPr>
    <w:rPr>
      <w:rFonts w:ascii="Arial" w:hAnsi="Arial"/>
      <w:kern w:val="0"/>
      <w:sz w:val="21"/>
      <w:szCs w:val="21"/>
      <w14:ligatures w14:val="non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iPriority w:val="99"/>
    <w:semiHidden/>
    <w:unhideWhenUsed/>
    <w:rsid w:val="00E00A76"/>
    <w:pPr>
      <w:spacing w:after="340" w:line="360" w:lineRule="auto"/>
      <w:jc w:val="both"/>
    </w:pPr>
    <w:rPr>
      <w:rFonts w:ascii="Arial" w:hAnsi="Arial"/>
      <w:kern w:val="0"/>
      <w:sz w:val="21"/>
      <w:szCs w:val="21"/>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00A76"/>
    <w:pPr>
      <w:spacing w:after="340" w:line="360" w:lineRule="auto"/>
      <w:jc w:val="both"/>
    </w:pPr>
    <w:rPr>
      <w:rFonts w:ascii="Arial" w:hAnsi="Arial"/>
      <w:kern w:val="0"/>
      <w:sz w:val="21"/>
      <w:szCs w:val="21"/>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00A76"/>
    <w:pPr>
      <w:spacing w:after="340" w:line="360" w:lineRule="auto"/>
      <w:jc w:val="both"/>
    </w:pPr>
    <w:rPr>
      <w:rFonts w:ascii="Arial" w:hAnsi="Arial"/>
      <w:kern w:val="0"/>
      <w:sz w:val="21"/>
      <w:szCs w:val="21"/>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00A76"/>
    <w:pPr>
      <w:spacing w:after="340" w:line="360" w:lineRule="auto"/>
      <w:jc w:val="both"/>
    </w:pPr>
    <w:rPr>
      <w:rFonts w:ascii="Arial" w:hAnsi="Arial"/>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E00A76"/>
    <w:pPr>
      <w:spacing w:after="120" w:line="480" w:lineRule="auto"/>
    </w:pPr>
  </w:style>
  <w:style w:type="character" w:customStyle="1" w:styleId="BodyText2Char">
    <w:name w:val="Body Text 2 Char"/>
    <w:basedOn w:val="DefaultParagraphFont"/>
    <w:link w:val="BodyText2"/>
    <w:uiPriority w:val="99"/>
    <w:semiHidden/>
    <w:rsid w:val="00E00A76"/>
    <w:rPr>
      <w:rFonts w:ascii="Arial" w:hAnsi="Arial"/>
      <w:kern w:val="0"/>
      <w:sz w:val="21"/>
      <w:szCs w:val="21"/>
      <w14:ligatures w14:val="none"/>
    </w:rPr>
  </w:style>
  <w:style w:type="paragraph" w:styleId="BodyText3">
    <w:name w:val="Body Text 3"/>
    <w:basedOn w:val="Normal"/>
    <w:link w:val="BodyText3Char"/>
    <w:uiPriority w:val="99"/>
    <w:semiHidden/>
    <w:unhideWhenUsed/>
    <w:rsid w:val="00E00A76"/>
    <w:pPr>
      <w:spacing w:after="120"/>
    </w:pPr>
    <w:rPr>
      <w:sz w:val="16"/>
      <w:szCs w:val="16"/>
    </w:rPr>
  </w:style>
  <w:style w:type="character" w:customStyle="1" w:styleId="BodyText3Char">
    <w:name w:val="Body Text 3 Char"/>
    <w:basedOn w:val="DefaultParagraphFont"/>
    <w:link w:val="BodyText3"/>
    <w:uiPriority w:val="99"/>
    <w:semiHidden/>
    <w:rsid w:val="00E00A76"/>
    <w:rPr>
      <w:rFonts w:ascii="Arial" w:hAnsi="Arial"/>
      <w:kern w:val="0"/>
      <w:sz w:val="16"/>
      <w:szCs w:val="16"/>
      <w14:ligatures w14:val="none"/>
    </w:rPr>
  </w:style>
  <w:style w:type="paragraph" w:styleId="BodyTextIndent2">
    <w:name w:val="Body Text Indent 2"/>
    <w:basedOn w:val="Normal"/>
    <w:link w:val="BodyTextIndent2Char"/>
    <w:uiPriority w:val="99"/>
    <w:semiHidden/>
    <w:unhideWhenUsed/>
    <w:rsid w:val="00E00A76"/>
    <w:pPr>
      <w:spacing w:after="120" w:line="480" w:lineRule="auto"/>
      <w:ind w:left="283"/>
    </w:pPr>
  </w:style>
  <w:style w:type="character" w:customStyle="1" w:styleId="BodyTextIndent2Char">
    <w:name w:val="Body Text Indent 2 Char"/>
    <w:basedOn w:val="DefaultParagraphFont"/>
    <w:link w:val="BodyTextIndent2"/>
    <w:uiPriority w:val="99"/>
    <w:semiHidden/>
    <w:rsid w:val="00E00A76"/>
    <w:rPr>
      <w:rFonts w:ascii="Arial" w:hAnsi="Arial"/>
      <w:kern w:val="0"/>
      <w:sz w:val="21"/>
      <w:szCs w:val="21"/>
      <w14:ligatures w14:val="none"/>
    </w:rPr>
  </w:style>
  <w:style w:type="paragraph" w:styleId="BodyTextIndent3">
    <w:name w:val="Body Text Indent 3"/>
    <w:basedOn w:val="Normal"/>
    <w:link w:val="BodyTextIndent3Char"/>
    <w:uiPriority w:val="99"/>
    <w:semiHidden/>
    <w:unhideWhenUsed/>
    <w:rsid w:val="00E00A7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00A76"/>
    <w:rPr>
      <w:rFonts w:ascii="Arial" w:hAnsi="Arial"/>
      <w:kern w:val="0"/>
      <w:sz w:val="16"/>
      <w:szCs w:val="16"/>
      <w14:ligatures w14:val="none"/>
    </w:rPr>
  </w:style>
  <w:style w:type="paragraph" w:styleId="BodyTextFirstIndent">
    <w:name w:val="Body Text First Indent"/>
    <w:basedOn w:val="BodyText"/>
    <w:link w:val="BodyTextFirstIndentChar"/>
    <w:uiPriority w:val="99"/>
    <w:semiHidden/>
    <w:unhideWhenUsed/>
    <w:rsid w:val="00E00A76"/>
    <w:pPr>
      <w:spacing w:after="340"/>
      <w:ind w:firstLine="360"/>
    </w:pPr>
  </w:style>
  <w:style w:type="character" w:customStyle="1" w:styleId="BodyTextFirstIndentChar">
    <w:name w:val="Body Text First Indent Char"/>
    <w:basedOn w:val="BodyTextChar"/>
    <w:link w:val="BodyTextFirstIndent"/>
    <w:uiPriority w:val="99"/>
    <w:semiHidden/>
    <w:rsid w:val="00E00A76"/>
    <w:rPr>
      <w:rFonts w:ascii="Arial" w:hAnsi="Arial"/>
      <w:kern w:val="0"/>
      <w:sz w:val="21"/>
      <w:szCs w:val="21"/>
      <w14:ligatures w14:val="none"/>
    </w:rPr>
  </w:style>
  <w:style w:type="paragraph" w:styleId="BodyTextIndent">
    <w:name w:val="Body Text Indent"/>
    <w:basedOn w:val="Normal"/>
    <w:link w:val="BodyTextIndentChar"/>
    <w:uiPriority w:val="99"/>
    <w:semiHidden/>
    <w:unhideWhenUsed/>
    <w:rsid w:val="00E00A76"/>
    <w:pPr>
      <w:spacing w:after="120"/>
      <w:ind w:left="283"/>
    </w:pPr>
  </w:style>
  <w:style w:type="character" w:customStyle="1" w:styleId="BodyTextIndentChar">
    <w:name w:val="Body Text Indent Char"/>
    <w:basedOn w:val="DefaultParagraphFont"/>
    <w:link w:val="BodyTextIndent"/>
    <w:uiPriority w:val="99"/>
    <w:semiHidden/>
    <w:rsid w:val="00E00A76"/>
    <w:rPr>
      <w:rFonts w:ascii="Arial" w:hAnsi="Arial"/>
      <w:kern w:val="0"/>
      <w:sz w:val="21"/>
      <w:szCs w:val="21"/>
      <w14:ligatures w14:val="none"/>
    </w:rPr>
  </w:style>
  <w:style w:type="paragraph" w:styleId="BodyTextFirstIndent2">
    <w:name w:val="Body Text First Indent 2"/>
    <w:basedOn w:val="BodyTextIndent"/>
    <w:link w:val="BodyTextFirstIndent2Char"/>
    <w:uiPriority w:val="99"/>
    <w:semiHidden/>
    <w:unhideWhenUsed/>
    <w:rsid w:val="00E00A76"/>
    <w:pPr>
      <w:spacing w:after="340"/>
      <w:ind w:left="360" w:firstLine="360"/>
    </w:pPr>
  </w:style>
  <w:style w:type="character" w:customStyle="1" w:styleId="BodyTextFirstIndent2Char">
    <w:name w:val="Body Text First Indent 2 Char"/>
    <w:basedOn w:val="BodyTextIndentChar"/>
    <w:link w:val="BodyTextFirstIndent2"/>
    <w:uiPriority w:val="99"/>
    <w:semiHidden/>
    <w:rsid w:val="00E00A76"/>
    <w:rPr>
      <w:rFonts w:ascii="Arial" w:hAnsi="Arial"/>
      <w:kern w:val="0"/>
      <w:sz w:val="21"/>
      <w:szCs w:val="21"/>
      <w14:ligatures w14:val="none"/>
    </w:rPr>
  </w:style>
  <w:style w:type="paragraph" w:styleId="EnvelopeReturn">
    <w:name w:val="envelope return"/>
    <w:basedOn w:val="Normal"/>
    <w:uiPriority w:val="99"/>
    <w:semiHidden/>
    <w:unhideWhenUsed/>
    <w:rsid w:val="00E00A76"/>
    <w:rPr>
      <w:rFonts w:asciiTheme="majorHAnsi" w:eastAsiaTheme="majorEastAsia" w:hAnsiTheme="majorHAnsi" w:cstheme="majorBidi"/>
      <w:sz w:val="20"/>
      <w:szCs w:val="20"/>
    </w:rPr>
  </w:style>
  <w:style w:type="paragraph" w:styleId="EnvelopeAddress">
    <w:name w:val="envelope address"/>
    <w:basedOn w:val="Normal"/>
    <w:uiPriority w:val="99"/>
    <w:semiHidden/>
    <w:unhideWhenUsed/>
    <w:rsid w:val="00E00A76"/>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Signature">
    <w:name w:val="Signature"/>
    <w:basedOn w:val="Normal"/>
    <w:link w:val="SignatureChar"/>
    <w:uiPriority w:val="99"/>
    <w:semiHidden/>
    <w:unhideWhenUsed/>
    <w:rsid w:val="00E00A76"/>
    <w:pPr>
      <w:ind w:left="4252"/>
    </w:pPr>
  </w:style>
  <w:style w:type="character" w:customStyle="1" w:styleId="SignatureChar">
    <w:name w:val="Signature Char"/>
    <w:basedOn w:val="DefaultParagraphFont"/>
    <w:link w:val="Signature"/>
    <w:uiPriority w:val="99"/>
    <w:semiHidden/>
    <w:rsid w:val="00E00A76"/>
    <w:rPr>
      <w:rFonts w:ascii="Arial" w:hAnsi="Arial"/>
      <w:kern w:val="0"/>
      <w:sz w:val="21"/>
      <w:szCs w:val="21"/>
      <w14:ligatures w14:val="none"/>
    </w:rPr>
  </w:style>
  <w:style w:type="paragraph" w:styleId="TOC8">
    <w:name w:val="toc 8"/>
    <w:basedOn w:val="Normal"/>
    <w:next w:val="Normal"/>
    <w:autoRedefine/>
    <w:uiPriority w:val="39"/>
    <w:semiHidden/>
    <w:unhideWhenUsed/>
    <w:rsid w:val="00E00A76"/>
    <w:pPr>
      <w:spacing w:after="100"/>
      <w:ind w:left="1470"/>
    </w:pPr>
  </w:style>
  <w:style w:type="paragraph" w:styleId="TOC9">
    <w:name w:val="toc 9"/>
    <w:basedOn w:val="Normal"/>
    <w:next w:val="Normal"/>
    <w:autoRedefine/>
    <w:uiPriority w:val="39"/>
    <w:semiHidden/>
    <w:unhideWhenUsed/>
    <w:rsid w:val="00E00A76"/>
    <w:pPr>
      <w:spacing w:after="100"/>
      <w:ind w:left="1680"/>
    </w:pPr>
  </w:style>
  <w:style w:type="character" w:styleId="LineNumber">
    <w:name w:val="line number"/>
    <w:basedOn w:val="DefaultParagraphFont"/>
    <w:uiPriority w:val="99"/>
    <w:semiHidden/>
    <w:unhideWhenUsed/>
    <w:rsid w:val="00E00A76"/>
  </w:style>
  <w:style w:type="numbering" w:customStyle="1" w:styleId="AktuelleListe1">
    <w:name w:val="Aktuelle Liste1"/>
    <w:uiPriority w:val="99"/>
    <w:rsid w:val="00E00A76"/>
    <w:pPr>
      <w:numPr>
        <w:numId w:val="26"/>
      </w:numPr>
    </w:pPr>
  </w:style>
  <w:style w:type="paragraph" w:customStyle="1" w:styleId="TWPatAntragBullet">
    <w:name w:val="TWPat Antrag Bullet"/>
    <w:basedOn w:val="Normal"/>
    <w:qFormat/>
    <w:rsid w:val="00E00A76"/>
    <w:pPr>
      <w:numPr>
        <w:numId w:val="28"/>
      </w:numPr>
      <w:tabs>
        <w:tab w:val="left" w:pos="851"/>
      </w:tabs>
      <w:spacing w:before="340"/>
    </w:pPr>
    <w:rPr>
      <w:b/>
    </w:rPr>
  </w:style>
  <w:style w:type="paragraph" w:customStyle="1" w:styleId="TWPatAntragText12">
    <w:name w:val="TWPat Antrag Text 1+2"/>
    <w:basedOn w:val="TWStandard"/>
    <w:qFormat/>
    <w:rsid w:val="00E00A76"/>
    <w:pPr>
      <w:spacing w:before="340" w:line="240" w:lineRule="auto"/>
      <w:ind w:left="1134"/>
    </w:pPr>
    <w:rPr>
      <w:b/>
      <w:lang w:eastAsia="de-DE"/>
    </w:rPr>
  </w:style>
  <w:style w:type="paragraph" w:customStyle="1" w:styleId="TWPatAntragBullet12">
    <w:name w:val="TWPat Antrag Bullet 1+2"/>
    <w:basedOn w:val="TWPatAntragText12"/>
    <w:qFormat/>
    <w:rsid w:val="00E00A76"/>
    <w:pPr>
      <w:numPr>
        <w:numId w:val="27"/>
      </w:numPr>
      <w:tabs>
        <w:tab w:val="clear" w:pos="1701"/>
        <w:tab w:val="left" w:pos="1418"/>
      </w:tabs>
      <w:spacing w:after="340"/>
      <w:ind w:left="1134"/>
    </w:pPr>
  </w:style>
  <w:style w:type="paragraph" w:customStyle="1" w:styleId="TWPatAntragText3">
    <w:name w:val="TWPat Antrag Text 3"/>
    <w:basedOn w:val="TWStandard"/>
    <w:qFormat/>
    <w:rsid w:val="00E00A76"/>
    <w:pPr>
      <w:spacing w:before="340" w:line="240" w:lineRule="auto"/>
      <w:ind w:left="1701"/>
    </w:pPr>
    <w:rPr>
      <w:b/>
      <w:lang w:eastAsia="de-DE"/>
    </w:rPr>
  </w:style>
  <w:style w:type="paragraph" w:customStyle="1" w:styleId="TWPatAntragBullet3">
    <w:name w:val="TWPat Antrag Bullet 3"/>
    <w:basedOn w:val="TWPatAntragText3"/>
    <w:qFormat/>
    <w:rsid w:val="00E00A76"/>
    <w:pPr>
      <w:numPr>
        <w:ilvl w:val="2"/>
        <w:numId w:val="28"/>
      </w:numPr>
      <w:tabs>
        <w:tab w:val="left" w:pos="1985"/>
      </w:tabs>
      <w:spacing w:after="340"/>
    </w:pPr>
  </w:style>
  <w:style w:type="numbering" w:customStyle="1" w:styleId="TWPatAntragsgliederung">
    <w:name w:val="TWPat Antragsgliederung"/>
    <w:basedOn w:val="NoList"/>
    <w:uiPriority w:val="99"/>
    <w:rsid w:val="00E00A76"/>
    <w:pPr>
      <w:numPr>
        <w:numId w:val="35"/>
      </w:numPr>
    </w:pPr>
  </w:style>
  <w:style w:type="paragraph" w:customStyle="1" w:styleId="TWPatAntragsgliederung1">
    <w:name w:val="TWPat Antragsgliederung1"/>
    <w:basedOn w:val="TWStandard"/>
    <w:next w:val="TWPatAntragText12"/>
    <w:qFormat/>
    <w:rsid w:val="00E00A76"/>
    <w:pPr>
      <w:numPr>
        <w:numId w:val="36"/>
      </w:numPr>
      <w:spacing w:before="340" w:line="240" w:lineRule="auto"/>
    </w:pPr>
    <w:rPr>
      <w:rFonts w:eastAsia="Times New Roman" w:cs="Times New Roman"/>
      <w:b/>
      <w:szCs w:val="24"/>
      <w:lang w:eastAsia="de-DE"/>
    </w:rPr>
  </w:style>
  <w:style w:type="paragraph" w:customStyle="1" w:styleId="TWPatAntragsgliederung2">
    <w:name w:val="TWPat Antragsgliederung2"/>
    <w:basedOn w:val="TWStandard"/>
    <w:next w:val="TWPatAntragText12"/>
    <w:qFormat/>
    <w:rsid w:val="00E00A76"/>
    <w:pPr>
      <w:numPr>
        <w:ilvl w:val="1"/>
        <w:numId w:val="36"/>
      </w:numPr>
      <w:spacing w:before="340" w:line="240" w:lineRule="auto"/>
    </w:pPr>
    <w:rPr>
      <w:b/>
      <w:lang w:eastAsia="de-DE"/>
    </w:rPr>
  </w:style>
  <w:style w:type="paragraph" w:customStyle="1" w:styleId="TWPatAntragsgliederung3">
    <w:name w:val="TWPat Antragsgliederung3"/>
    <w:basedOn w:val="TWStandard"/>
    <w:next w:val="TWPatAntragText3"/>
    <w:qFormat/>
    <w:rsid w:val="00E00A76"/>
    <w:pPr>
      <w:numPr>
        <w:ilvl w:val="2"/>
        <w:numId w:val="36"/>
      </w:numPr>
      <w:spacing w:before="340" w:line="240" w:lineRule="auto"/>
    </w:pPr>
    <w:rPr>
      <w:rFonts w:eastAsia="Times New Roman" w:cs="Arial"/>
      <w:b/>
      <w:bCs/>
      <w:lang w:eastAsia="de-DE"/>
    </w:rPr>
  </w:style>
  <w:style w:type="paragraph" w:customStyle="1" w:styleId="TWPatTextebene1">
    <w:name w:val="TWPat Textebene 1"/>
    <w:basedOn w:val="TWStandard"/>
    <w:qFormat/>
    <w:rsid w:val="00E00A76"/>
    <w:pPr>
      <w:spacing w:before="340"/>
      <w:ind w:left="1134"/>
      <w:jc w:val="center"/>
    </w:pPr>
  </w:style>
  <w:style w:type="paragraph" w:customStyle="1" w:styleId="TWPatBullet1">
    <w:name w:val="TWPat Bullet1"/>
    <w:basedOn w:val="TWPatTextebene1"/>
    <w:qFormat/>
    <w:rsid w:val="00E00A76"/>
    <w:pPr>
      <w:numPr>
        <w:numId w:val="38"/>
      </w:numPr>
      <w:spacing w:after="340"/>
    </w:pPr>
    <w:rPr>
      <w:szCs w:val="21"/>
    </w:rPr>
  </w:style>
  <w:style w:type="paragraph" w:customStyle="1" w:styleId="TWPatTextebene2">
    <w:name w:val="TWPat Textebene 2"/>
    <w:basedOn w:val="TWStandard"/>
    <w:qFormat/>
    <w:rsid w:val="00E00A76"/>
    <w:pPr>
      <w:ind w:left="425"/>
      <w:jc w:val="left"/>
    </w:pPr>
  </w:style>
  <w:style w:type="paragraph" w:customStyle="1" w:styleId="TWPatBullet2">
    <w:name w:val="TWPat Bullet2"/>
    <w:basedOn w:val="TWPatTextebene2"/>
    <w:qFormat/>
    <w:rsid w:val="00E00A76"/>
    <w:pPr>
      <w:numPr>
        <w:ilvl w:val="1"/>
        <w:numId w:val="38"/>
      </w:numPr>
      <w:spacing w:before="340" w:after="340"/>
    </w:pPr>
    <w:rPr>
      <w:szCs w:val="21"/>
    </w:rPr>
  </w:style>
  <w:style w:type="paragraph" w:customStyle="1" w:styleId="TWPatTextebene3">
    <w:name w:val="TWPat Textebene 3"/>
    <w:basedOn w:val="TWStandard"/>
    <w:qFormat/>
    <w:rsid w:val="00E00A76"/>
    <w:pPr>
      <w:ind w:left="851"/>
    </w:pPr>
  </w:style>
  <w:style w:type="paragraph" w:customStyle="1" w:styleId="TWPatBullet3">
    <w:name w:val="TWPat Bullet3"/>
    <w:basedOn w:val="TWPatTextebene3"/>
    <w:qFormat/>
    <w:rsid w:val="00E00A76"/>
    <w:pPr>
      <w:numPr>
        <w:ilvl w:val="2"/>
        <w:numId w:val="38"/>
      </w:numPr>
      <w:spacing w:before="340" w:after="340"/>
      <w:jc w:val="left"/>
    </w:pPr>
    <w:rPr>
      <w:szCs w:val="21"/>
    </w:rPr>
  </w:style>
  <w:style w:type="paragraph" w:customStyle="1" w:styleId="TWPatTextebene4">
    <w:name w:val="TWPat Textebene 4"/>
    <w:basedOn w:val="TWStandard"/>
    <w:qFormat/>
    <w:rsid w:val="00E00A76"/>
    <w:pPr>
      <w:ind w:left="1276"/>
    </w:pPr>
  </w:style>
  <w:style w:type="paragraph" w:customStyle="1" w:styleId="TWPatBullet4">
    <w:name w:val="TWPat Bullet4"/>
    <w:basedOn w:val="TWPatTextebene4"/>
    <w:qFormat/>
    <w:rsid w:val="00E00A76"/>
    <w:pPr>
      <w:numPr>
        <w:ilvl w:val="3"/>
        <w:numId w:val="38"/>
      </w:numPr>
      <w:spacing w:before="340" w:after="340"/>
      <w:jc w:val="left"/>
    </w:pPr>
    <w:rPr>
      <w:szCs w:val="21"/>
    </w:rPr>
  </w:style>
  <w:style w:type="paragraph" w:customStyle="1" w:styleId="TWPatTextebene5">
    <w:name w:val="TWPat Textebene 5"/>
    <w:basedOn w:val="TWStandard"/>
    <w:qFormat/>
    <w:rsid w:val="00E00A76"/>
    <w:pPr>
      <w:ind w:left="1701"/>
    </w:pPr>
  </w:style>
  <w:style w:type="paragraph" w:customStyle="1" w:styleId="TWPatBullet5">
    <w:name w:val="TWPat Bullet5"/>
    <w:basedOn w:val="TWPatTextebene5"/>
    <w:qFormat/>
    <w:rsid w:val="00E00A76"/>
    <w:pPr>
      <w:numPr>
        <w:ilvl w:val="4"/>
        <w:numId w:val="38"/>
      </w:numPr>
      <w:spacing w:before="340" w:after="340"/>
      <w:jc w:val="left"/>
    </w:pPr>
    <w:rPr>
      <w:szCs w:val="21"/>
    </w:rPr>
  </w:style>
  <w:style w:type="paragraph" w:customStyle="1" w:styleId="TWPatAntragText">
    <w:name w:val="TWPat Antrag Text"/>
    <w:basedOn w:val="TWStandard"/>
    <w:qFormat/>
    <w:rsid w:val="00E00A76"/>
    <w:pPr>
      <w:spacing w:before="340" w:after="340" w:line="240" w:lineRule="auto"/>
      <w:ind w:left="567"/>
    </w:pPr>
    <w:rPr>
      <w:b/>
    </w:rPr>
  </w:style>
  <w:style w:type="numbering" w:customStyle="1" w:styleId="TWPatBullet">
    <w:name w:val="TWPat Bullet"/>
    <w:uiPriority w:val="99"/>
    <w:rsid w:val="00E00A76"/>
    <w:pPr>
      <w:numPr>
        <w:numId w:val="37"/>
      </w:numPr>
    </w:pPr>
  </w:style>
  <w:style w:type="numbering" w:customStyle="1" w:styleId="TWPatGliederung">
    <w:name w:val="TWPat Gliederung"/>
    <w:basedOn w:val="NoList"/>
    <w:uiPriority w:val="99"/>
    <w:rsid w:val="00E00A76"/>
    <w:pPr>
      <w:numPr>
        <w:numId w:val="39"/>
      </w:numPr>
    </w:pPr>
  </w:style>
  <w:style w:type="paragraph" w:customStyle="1" w:styleId="TWPatGliederung1">
    <w:name w:val="TWPat Gliederung1"/>
    <w:basedOn w:val="TWStandard"/>
    <w:next w:val="TWPatTextebene1"/>
    <w:qFormat/>
    <w:rsid w:val="00E00A76"/>
    <w:pPr>
      <w:keepNext/>
      <w:keepLines/>
      <w:numPr>
        <w:numId w:val="39"/>
      </w:numPr>
      <w:spacing w:before="480" w:after="240"/>
      <w:jc w:val="center"/>
      <w:outlineLvl w:val="0"/>
    </w:pPr>
    <w:rPr>
      <w:rFonts w:eastAsia="Times New Roman" w:cs="Times New Roman"/>
      <w:b/>
      <w:szCs w:val="24"/>
      <w:lang w:eastAsia="de-DE"/>
    </w:rPr>
  </w:style>
  <w:style w:type="paragraph" w:customStyle="1" w:styleId="TWPatGliederung2">
    <w:name w:val="TWPat Gliederung2"/>
    <w:basedOn w:val="TWStandard"/>
    <w:next w:val="TWPatTextebene2"/>
    <w:qFormat/>
    <w:rsid w:val="00E00A76"/>
    <w:pPr>
      <w:keepNext/>
      <w:keepLines/>
      <w:numPr>
        <w:ilvl w:val="1"/>
        <w:numId w:val="39"/>
      </w:numPr>
      <w:spacing w:before="480" w:after="240"/>
      <w:jc w:val="left"/>
      <w:outlineLvl w:val="1"/>
    </w:pPr>
    <w:rPr>
      <w:rFonts w:eastAsia="Times New Roman" w:cs="Arial"/>
      <w:b/>
      <w:bCs/>
      <w:lang w:eastAsia="de-DE"/>
    </w:rPr>
  </w:style>
  <w:style w:type="paragraph" w:customStyle="1" w:styleId="TWPatGliederung3">
    <w:name w:val="TWPat Gliederung3"/>
    <w:basedOn w:val="TWStandard"/>
    <w:next w:val="TWPatTextebene3"/>
    <w:qFormat/>
    <w:rsid w:val="00E00A76"/>
    <w:pPr>
      <w:keepNext/>
      <w:keepLines/>
      <w:numPr>
        <w:ilvl w:val="2"/>
        <w:numId w:val="39"/>
      </w:numPr>
      <w:spacing w:before="480" w:after="240"/>
      <w:jc w:val="left"/>
      <w:outlineLvl w:val="2"/>
    </w:pPr>
    <w:rPr>
      <w:rFonts w:eastAsia="Times New Roman" w:cs="Arial"/>
      <w:bCs/>
      <w:lang w:eastAsia="de-DE"/>
    </w:rPr>
  </w:style>
  <w:style w:type="paragraph" w:customStyle="1" w:styleId="TWPatGliederung4">
    <w:name w:val="TWPat Gliederung4"/>
    <w:basedOn w:val="TWStandard"/>
    <w:next w:val="TWPatTextebene4"/>
    <w:qFormat/>
    <w:rsid w:val="00E00A76"/>
    <w:pPr>
      <w:keepNext/>
      <w:keepLines/>
      <w:numPr>
        <w:ilvl w:val="3"/>
        <w:numId w:val="39"/>
      </w:numPr>
      <w:spacing w:before="480" w:after="240"/>
      <w:jc w:val="left"/>
      <w:outlineLvl w:val="3"/>
    </w:pPr>
    <w:rPr>
      <w:rFonts w:eastAsia="Times New Roman" w:cs="Times New Roman"/>
      <w:szCs w:val="24"/>
      <w:lang w:val="en-US" w:eastAsia="de-DE"/>
    </w:rPr>
  </w:style>
  <w:style w:type="paragraph" w:customStyle="1" w:styleId="TWPatGliederung5">
    <w:name w:val="TWPat Gliederung5"/>
    <w:basedOn w:val="TWStandard"/>
    <w:next w:val="TWPatTextebene5"/>
    <w:qFormat/>
    <w:rsid w:val="00E00A76"/>
    <w:pPr>
      <w:keepNext/>
      <w:keepLines/>
      <w:numPr>
        <w:ilvl w:val="4"/>
        <w:numId w:val="39"/>
      </w:numPr>
      <w:spacing w:before="480" w:after="240"/>
      <w:jc w:val="left"/>
      <w:outlineLvl w:val="4"/>
    </w:pPr>
    <w:rPr>
      <w:rFonts w:eastAsia="Times New Roman" w:cs="Times New Roman"/>
      <w:b/>
      <w:szCs w:val="24"/>
      <w:lang w:val="en-US" w:eastAsia="de-DE"/>
    </w:rPr>
  </w:style>
  <w:style w:type="paragraph" w:customStyle="1" w:styleId="TWPatGliederung6">
    <w:name w:val="TWPat Gliederung6"/>
    <w:basedOn w:val="TWStandard"/>
    <w:next w:val="TWPatTextebene6-8"/>
    <w:qFormat/>
    <w:rsid w:val="00E00A76"/>
    <w:pPr>
      <w:keepNext/>
      <w:keepLines/>
      <w:numPr>
        <w:ilvl w:val="5"/>
        <w:numId w:val="39"/>
      </w:numPr>
      <w:spacing w:before="480" w:after="240"/>
      <w:jc w:val="left"/>
      <w:outlineLvl w:val="5"/>
    </w:pPr>
    <w:rPr>
      <w:rFonts w:eastAsia="Times New Roman" w:cs="Times New Roman"/>
      <w:b/>
      <w:szCs w:val="24"/>
      <w:lang w:val="en-US" w:eastAsia="de-DE"/>
    </w:rPr>
  </w:style>
  <w:style w:type="paragraph" w:customStyle="1" w:styleId="TWPatGliederung7">
    <w:name w:val="TWPat Gliederung7"/>
    <w:basedOn w:val="TWStandard"/>
    <w:next w:val="TWPatTextebene6-8"/>
    <w:rsid w:val="00E00A76"/>
    <w:pPr>
      <w:keepNext/>
      <w:keepLines/>
      <w:numPr>
        <w:ilvl w:val="6"/>
        <w:numId w:val="39"/>
      </w:numPr>
      <w:spacing w:before="480" w:after="240"/>
      <w:jc w:val="left"/>
      <w:outlineLvl w:val="6"/>
    </w:pPr>
    <w:rPr>
      <w:rFonts w:eastAsia="Times New Roman" w:cs="Times New Roman"/>
      <w:b/>
      <w:szCs w:val="24"/>
      <w:lang w:val="en-US" w:eastAsia="de-DE"/>
    </w:rPr>
  </w:style>
  <w:style w:type="paragraph" w:customStyle="1" w:styleId="TWPatGliederung8">
    <w:name w:val="TWPat Gliederung8"/>
    <w:basedOn w:val="TWStandard"/>
    <w:next w:val="TWPatTextebene6-8"/>
    <w:qFormat/>
    <w:rsid w:val="00E00A76"/>
    <w:pPr>
      <w:keepNext/>
      <w:keepLines/>
      <w:numPr>
        <w:ilvl w:val="7"/>
        <w:numId w:val="39"/>
      </w:numPr>
      <w:spacing w:before="480" w:after="240"/>
      <w:jc w:val="left"/>
      <w:outlineLvl w:val="7"/>
    </w:pPr>
    <w:rPr>
      <w:b/>
    </w:rPr>
  </w:style>
  <w:style w:type="paragraph" w:customStyle="1" w:styleId="TWPatTextebene6-8">
    <w:name w:val="TWPat Textebene 6-8"/>
    <w:basedOn w:val="TWStandard"/>
    <w:qFormat/>
    <w:rsid w:val="00E00A76"/>
    <w:pPr>
      <w:ind w:left="2126"/>
    </w:pPr>
  </w:style>
  <w:style w:type="paragraph" w:customStyle="1" w:styleId="TWPatZitat">
    <w:name w:val="TWPat Zitat"/>
    <w:basedOn w:val="TWStandard"/>
    <w:next w:val="TWStandard"/>
    <w:qFormat/>
    <w:rsid w:val="00E00A76"/>
    <w:pPr>
      <w:spacing w:before="340" w:line="240" w:lineRule="auto"/>
      <w:ind w:left="567" w:right="567"/>
    </w:pPr>
    <w:rPr>
      <w:rFonts w:eastAsia="Times New Roman" w:cs="Arial"/>
      <w:bCs/>
      <w:i/>
      <w:lang w:eastAsia="de-DE"/>
    </w:rPr>
  </w:style>
  <w:style w:type="paragraph" w:customStyle="1" w:styleId="TWProspekt">
    <w:name w:val="TW Prospekt"/>
    <w:basedOn w:val="TWStandard"/>
    <w:link w:val="TWProspektZchn"/>
    <w:qFormat/>
    <w:rsid w:val="00E00A76"/>
    <w:pPr>
      <w:spacing w:after="240" w:line="240" w:lineRule="auto"/>
    </w:pPr>
    <w:rPr>
      <w:sz w:val="20"/>
    </w:rPr>
  </w:style>
  <w:style w:type="character" w:customStyle="1" w:styleId="TWProspektZchn">
    <w:name w:val="TW Prospekt Zchn"/>
    <w:basedOn w:val="DefaultParagraphFont"/>
    <w:link w:val="TWProspekt"/>
    <w:rsid w:val="00E00A76"/>
    <w:rPr>
      <w:rFonts w:ascii="Arial" w:hAnsi="Arial"/>
      <w:kern w:val="0"/>
      <w:sz w:val="20"/>
      <w14:ligatures w14:val="none"/>
    </w:rPr>
  </w:style>
  <w:style w:type="paragraph" w:customStyle="1" w:styleId="TWProspektEbene1">
    <w:name w:val="TW Prospekt Ebene 1"/>
    <w:basedOn w:val="TWProspekt"/>
    <w:qFormat/>
    <w:rsid w:val="00E00A76"/>
    <w:pPr>
      <w:keepNext/>
      <w:keepLines/>
      <w:numPr>
        <w:numId w:val="40"/>
      </w:numPr>
      <w:spacing w:after="340"/>
      <w:jc w:val="center"/>
      <w:outlineLvl w:val="0"/>
    </w:pPr>
    <w:rPr>
      <w:rFonts w:ascii="Arial Fett" w:hAnsi="Arial Fett"/>
      <w:b/>
      <w:caps/>
    </w:rPr>
  </w:style>
  <w:style w:type="paragraph" w:customStyle="1" w:styleId="TWProspektEbene2">
    <w:name w:val="TW Prospekt Ebene 2"/>
    <w:basedOn w:val="TWProspektEbene1"/>
    <w:qFormat/>
    <w:rsid w:val="00E00A76"/>
    <w:pPr>
      <w:numPr>
        <w:ilvl w:val="1"/>
      </w:numPr>
      <w:jc w:val="left"/>
    </w:pPr>
    <w:rPr>
      <w:caps w:val="0"/>
    </w:rPr>
  </w:style>
  <w:style w:type="paragraph" w:customStyle="1" w:styleId="TWProspektEbene3">
    <w:name w:val="TW Prospekt Ebene 3"/>
    <w:basedOn w:val="TWProspektEbene2"/>
    <w:qFormat/>
    <w:rsid w:val="00E00A76"/>
    <w:pPr>
      <w:numPr>
        <w:ilvl w:val="2"/>
      </w:numPr>
    </w:pPr>
  </w:style>
  <w:style w:type="paragraph" w:customStyle="1" w:styleId="TWProspektEbene4">
    <w:name w:val="TW Prospekt Ebene 4"/>
    <w:basedOn w:val="TWProspektEbene3"/>
    <w:qFormat/>
    <w:rsid w:val="00E00A76"/>
    <w:pPr>
      <w:numPr>
        <w:ilvl w:val="3"/>
      </w:numPr>
    </w:pPr>
    <w:rPr>
      <w:rFonts w:ascii="Arial" w:hAnsi="Arial"/>
      <w:b w:val="0"/>
      <w:i/>
      <w:u w:val="single"/>
    </w:rPr>
  </w:style>
  <w:style w:type="paragraph" w:customStyle="1" w:styleId="TWProspektEbene5">
    <w:name w:val="TW Prospekt Ebene 5"/>
    <w:basedOn w:val="TWProspektEbene4"/>
    <w:qFormat/>
    <w:rsid w:val="00E00A76"/>
    <w:pPr>
      <w:numPr>
        <w:ilvl w:val="4"/>
      </w:numPr>
    </w:pPr>
    <w:rPr>
      <w:u w:val="none"/>
    </w:rPr>
  </w:style>
  <w:style w:type="paragraph" w:customStyle="1" w:styleId="TWProspektRisikohinweise">
    <w:name w:val="TW Prospekt Risikohinweise"/>
    <w:basedOn w:val="TWProspekt"/>
    <w:next w:val="TWProspekt"/>
    <w:qFormat/>
    <w:rsid w:val="00E00A76"/>
    <w:rPr>
      <w:i/>
    </w:rPr>
  </w:style>
  <w:style w:type="paragraph" w:customStyle="1" w:styleId="TWProspektStichpunkte">
    <w:name w:val="TW Prospekt Stichpunkte"/>
    <w:basedOn w:val="TWProspekt"/>
    <w:next w:val="TWProspekt"/>
    <w:qFormat/>
    <w:rsid w:val="00E00A76"/>
    <w:pPr>
      <w:numPr>
        <w:numId w:val="41"/>
      </w:numPr>
      <w:spacing w:after="0"/>
    </w:pPr>
  </w:style>
  <w:style w:type="paragraph" w:customStyle="1" w:styleId="TWVertragParteien">
    <w:name w:val="TW Vertrag Parteien"/>
    <w:next w:val="Normal"/>
    <w:rsid w:val="00E00A76"/>
    <w:pPr>
      <w:numPr>
        <w:numId w:val="42"/>
      </w:numPr>
      <w:spacing w:after="340" w:line="360" w:lineRule="auto"/>
      <w:ind w:left="567" w:hanging="567"/>
      <w:jc w:val="both"/>
    </w:pPr>
    <w:rPr>
      <w:rFonts w:ascii="Arial" w:hAnsi="Arial"/>
      <w:kern w:val="0"/>
      <w:sz w:val="21"/>
      <w14:ligatures w14:val="none"/>
    </w:rPr>
  </w:style>
  <w:style w:type="paragraph" w:customStyle="1" w:styleId="TWPatAntragText1">
    <w:name w:val="TWPat Antrag Text 1"/>
    <w:basedOn w:val="TWStandard"/>
    <w:qFormat/>
    <w:rsid w:val="00E00A76"/>
    <w:pPr>
      <w:spacing w:before="340" w:after="340" w:line="240" w:lineRule="auto"/>
      <w:ind w:left="1134"/>
    </w:pPr>
    <w:rPr>
      <w:b/>
      <w:lang w:eastAsia="de-DE"/>
    </w:rPr>
  </w:style>
  <w:style w:type="paragraph" w:customStyle="1" w:styleId="TWPatAntragText2">
    <w:name w:val="TWPat Antrag Text 2"/>
    <w:basedOn w:val="TWStandard"/>
    <w:qFormat/>
    <w:rsid w:val="00E00A76"/>
    <w:pPr>
      <w:spacing w:before="340" w:after="340" w:line="240" w:lineRule="auto"/>
      <w:ind w:left="1701"/>
    </w:pPr>
    <w:rPr>
      <w:b/>
      <w:lang w:eastAsia="de-DE"/>
    </w:rPr>
  </w:style>
  <w:style w:type="numbering" w:customStyle="1" w:styleId="TWPatAntrge">
    <w:name w:val="TWPat Anträge"/>
    <w:uiPriority w:val="99"/>
    <w:rsid w:val="00E00A76"/>
  </w:style>
  <w:style w:type="paragraph" w:customStyle="1" w:styleId="TWHyphenationAndSpacing">
    <w:name w:val="TW Hyphenation And Spacing"/>
    <w:basedOn w:val="Normal"/>
    <w:rsid w:val="00E00A76"/>
    <w:pPr>
      <w:spacing w:line="320" w:lineRule="atLeast"/>
    </w:pPr>
    <w:rPr>
      <w:rFonts w:eastAsia="Times New Roman" w:cs="Times New Roman"/>
      <w:szCs w:val="24"/>
      <w:lang w:val="de-CH"/>
    </w:rPr>
  </w:style>
  <w:style w:type="paragraph" w:customStyle="1" w:styleId="TWRandziffer">
    <w:name w:val="TW Randziffer"/>
    <w:basedOn w:val="TWHyphenationAndSpacing"/>
    <w:qFormat/>
    <w:rsid w:val="00E00A76"/>
    <w:pPr>
      <w:numPr>
        <w:numId w:val="43"/>
      </w:numPr>
      <w:spacing w:before="280"/>
      <w:jc w:val="both"/>
    </w:pPr>
  </w:style>
  <w:style w:type="paragraph" w:customStyle="1" w:styleId="TWTabelleberschriftrechts">
    <w:name w:val="TW Tabelle Überschrift rechts"/>
    <w:basedOn w:val="TWTabelleberschrift"/>
    <w:qFormat/>
    <w:rsid w:val="00E00A76"/>
  </w:style>
  <w:style w:type="paragraph" w:styleId="Revision">
    <w:name w:val="Revision"/>
    <w:hidden/>
    <w:uiPriority w:val="99"/>
    <w:semiHidden/>
    <w:rsid w:val="00705682"/>
    <w:pPr>
      <w:spacing w:after="0" w:line="240" w:lineRule="auto"/>
    </w:pPr>
    <w:rPr>
      <w:rFonts w:ascii="Arial" w:hAnsi="Arial"/>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934296">
      <w:bodyDiv w:val="1"/>
      <w:marLeft w:val="0"/>
      <w:marRight w:val="0"/>
      <w:marTop w:val="0"/>
      <w:marBottom w:val="0"/>
      <w:divBdr>
        <w:top w:val="none" w:sz="0" w:space="0" w:color="auto"/>
        <w:left w:val="none" w:sz="0" w:space="0" w:color="auto"/>
        <w:bottom w:val="none" w:sz="0" w:space="0" w:color="auto"/>
        <w:right w:val="none" w:sz="0" w:space="0" w:color="auto"/>
      </w:divBdr>
    </w:div>
    <w:div w:id="347603344">
      <w:bodyDiv w:val="1"/>
      <w:marLeft w:val="0"/>
      <w:marRight w:val="0"/>
      <w:marTop w:val="0"/>
      <w:marBottom w:val="0"/>
      <w:divBdr>
        <w:top w:val="none" w:sz="0" w:space="0" w:color="auto"/>
        <w:left w:val="none" w:sz="0" w:space="0" w:color="auto"/>
        <w:bottom w:val="none" w:sz="0" w:space="0" w:color="auto"/>
        <w:right w:val="none" w:sz="0" w:space="0" w:color="auto"/>
      </w:divBdr>
    </w:div>
    <w:div w:id="623780309">
      <w:bodyDiv w:val="1"/>
      <w:marLeft w:val="0"/>
      <w:marRight w:val="0"/>
      <w:marTop w:val="0"/>
      <w:marBottom w:val="0"/>
      <w:divBdr>
        <w:top w:val="none" w:sz="0" w:space="0" w:color="auto"/>
        <w:left w:val="none" w:sz="0" w:space="0" w:color="auto"/>
        <w:bottom w:val="none" w:sz="0" w:space="0" w:color="auto"/>
        <w:right w:val="none" w:sz="0" w:space="0" w:color="auto"/>
      </w:divBdr>
    </w:div>
    <w:div w:id="795368129">
      <w:bodyDiv w:val="1"/>
      <w:marLeft w:val="0"/>
      <w:marRight w:val="0"/>
      <w:marTop w:val="0"/>
      <w:marBottom w:val="0"/>
      <w:divBdr>
        <w:top w:val="none" w:sz="0" w:space="0" w:color="auto"/>
        <w:left w:val="none" w:sz="0" w:space="0" w:color="auto"/>
        <w:bottom w:val="none" w:sz="0" w:space="0" w:color="auto"/>
        <w:right w:val="none" w:sz="0" w:space="0" w:color="auto"/>
      </w:divBdr>
    </w:div>
    <w:div w:id="899098994">
      <w:bodyDiv w:val="1"/>
      <w:marLeft w:val="0"/>
      <w:marRight w:val="0"/>
      <w:marTop w:val="0"/>
      <w:marBottom w:val="0"/>
      <w:divBdr>
        <w:top w:val="none" w:sz="0" w:space="0" w:color="auto"/>
        <w:left w:val="none" w:sz="0" w:space="0" w:color="auto"/>
        <w:bottom w:val="none" w:sz="0" w:space="0" w:color="auto"/>
        <w:right w:val="none" w:sz="0" w:space="0" w:color="auto"/>
      </w:divBdr>
    </w:div>
    <w:div w:id="915669152">
      <w:bodyDiv w:val="1"/>
      <w:marLeft w:val="0"/>
      <w:marRight w:val="0"/>
      <w:marTop w:val="0"/>
      <w:marBottom w:val="0"/>
      <w:divBdr>
        <w:top w:val="none" w:sz="0" w:space="0" w:color="auto"/>
        <w:left w:val="none" w:sz="0" w:space="0" w:color="auto"/>
        <w:bottom w:val="none" w:sz="0" w:space="0" w:color="auto"/>
        <w:right w:val="none" w:sz="0" w:space="0" w:color="auto"/>
      </w:divBdr>
    </w:div>
    <w:div w:id="1021005759">
      <w:bodyDiv w:val="1"/>
      <w:marLeft w:val="0"/>
      <w:marRight w:val="0"/>
      <w:marTop w:val="0"/>
      <w:marBottom w:val="0"/>
      <w:divBdr>
        <w:top w:val="none" w:sz="0" w:space="0" w:color="auto"/>
        <w:left w:val="none" w:sz="0" w:space="0" w:color="auto"/>
        <w:bottom w:val="none" w:sz="0" w:space="0" w:color="auto"/>
        <w:right w:val="none" w:sz="0" w:space="0" w:color="auto"/>
      </w:divBdr>
    </w:div>
    <w:div w:id="1539270460">
      <w:bodyDiv w:val="1"/>
      <w:marLeft w:val="0"/>
      <w:marRight w:val="0"/>
      <w:marTop w:val="0"/>
      <w:marBottom w:val="0"/>
      <w:divBdr>
        <w:top w:val="none" w:sz="0" w:space="0" w:color="auto"/>
        <w:left w:val="none" w:sz="0" w:space="0" w:color="auto"/>
        <w:bottom w:val="none" w:sz="0" w:space="0" w:color="auto"/>
        <w:right w:val="none" w:sz="0" w:space="0" w:color="auto"/>
      </w:divBdr>
    </w:div>
    <w:div w:id="1641886753">
      <w:bodyDiv w:val="1"/>
      <w:marLeft w:val="0"/>
      <w:marRight w:val="0"/>
      <w:marTop w:val="0"/>
      <w:marBottom w:val="0"/>
      <w:divBdr>
        <w:top w:val="none" w:sz="0" w:space="0" w:color="auto"/>
        <w:left w:val="none" w:sz="0" w:space="0" w:color="auto"/>
        <w:bottom w:val="none" w:sz="0" w:space="0" w:color="auto"/>
        <w:right w:val="none" w:sz="0" w:space="0" w:color="auto"/>
      </w:divBdr>
    </w:div>
    <w:div w:id="1771512197">
      <w:bodyDiv w:val="1"/>
      <w:marLeft w:val="0"/>
      <w:marRight w:val="0"/>
      <w:marTop w:val="0"/>
      <w:marBottom w:val="0"/>
      <w:divBdr>
        <w:top w:val="none" w:sz="0" w:space="0" w:color="auto"/>
        <w:left w:val="none" w:sz="0" w:space="0" w:color="auto"/>
        <w:bottom w:val="none" w:sz="0" w:space="0" w:color="auto"/>
        <w:right w:val="none" w:sz="0" w:space="0" w:color="auto"/>
      </w:divBdr>
    </w:div>
    <w:div w:id="199880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m-a.de/news-media-hub/"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26F34-E125-47F3-A4F4-D5757ED3C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4137</Words>
  <Characters>26067</Characters>
  <Application>Microsoft Office Word</Application>
  <DocSecurity>0</DocSecurity>
  <Lines>217</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2025-04-29T08:35:00Z</dcterms:created>
  <dcterms:modified xsi:type="dcterms:W3CDTF">2025-04-29T08:37:00Z</dcterms:modified>
</cp:coreProperties>
</file>